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Services</w:t>
      </w:r>
      <w:r>
        <w:t xml:space="preserve"> </w:t>
      </w:r>
      <w:r>
        <w:t xml:space="preserve">in</w:t>
      </w:r>
      <w:r>
        <w:t xml:space="preserve"> </w:t>
      </w:r>
      <w:r>
        <w:t xml:space="preserve">China</w:t>
      </w:r>
      <w:r>
        <w:t xml:space="preserve"> </w:t>
      </w:r>
      <w:r>
        <w:t xml:space="preserve">Guangzhou</w:t>
      </w:r>
    </w:p>
    <w:bookmarkStart w:id="33" w:name="X2221cd684fdfcaa0c688a0604a38f2d15c18659"/>
    <w:p>
      <w:pPr>
        <w:pStyle w:val="Heading1"/>
      </w:pPr>
      <w:r>
        <w:t xml:space="preserve">Comprehensive Marketing Plan for "Teacher Secondary" Services in China Guangzhou</w:t>
      </w:r>
    </w:p>
    <w:bookmarkStart w:id="20" w:name="i.-executive-summary"/>
    <w:p>
      <w:pPr>
        <w:pStyle w:val="Heading2"/>
      </w:pPr>
      <w:r>
        <w:t xml:space="preserve">I. Executive Summary</w:t>
      </w:r>
    </w:p>
    <w:p>
      <w:pPr>
        <w:pStyle w:val="FirstParagraph"/>
      </w:pPr>
      <w:r>
        <w:t xml:space="preserve">This marketing plan outlines a strategic approach to establish and scale "Teacher Secondary" – a specialized professional development platform for secondary school educators – within the Guangzhou education ecosystem. Targeting over 15,000 secondary teachers across Guangzhou's public and private institutions, this initiative directly addresses critical gaps in curriculum modernization, digital literacy, and classroom innovation identified in the 2023 Guangdong Provincial Education Survey. Our data-driven strategy positions "Teacher Secondary" as the indispensable partner for teacher excellence in China's most dynamic metropolis.</w:t>
      </w:r>
    </w:p>
    <w:bookmarkEnd w:id="20"/>
    <w:bookmarkStart w:id="21" w:name="ii.-market-analysis-guangzhou-context"/>
    <w:p>
      <w:pPr>
        <w:pStyle w:val="Heading2"/>
      </w:pPr>
      <w:r>
        <w:t xml:space="preserve">II. Market Analysis: Guangzhou Context</w:t>
      </w:r>
    </w:p>
    <w:p>
      <w:pPr>
        <w:pStyle w:val="FirstParagraph"/>
      </w:pPr>
      <w:r>
        <w:t xml:space="preserve">Guangzhou's education sector faces unprecedented transformation driven by the Guangdong Provincial Education Modernization 2035 initiative. With 87% of secondary schools implementing digital teaching tools (Guangdong Education Bureau, 2023), teachers report acute shortages in:</w:t>
      </w:r>
    </w:p>
    <w:p>
      <w:pPr>
        <w:numPr>
          <w:ilvl w:val="0"/>
          <w:numId w:val="1001"/>
        </w:numPr>
        <w:pStyle w:val="Compact"/>
      </w:pPr>
      <w:r>
        <w:t xml:space="preserve">Curriculum alignment with new national standards</w:t>
      </w:r>
    </w:p>
    <w:p>
      <w:pPr>
        <w:numPr>
          <w:ilvl w:val="0"/>
          <w:numId w:val="1001"/>
        </w:numPr>
        <w:pStyle w:val="Compact"/>
      </w:pPr>
      <w:r>
        <w:t xml:space="preserve">AI-integrated pedagogy training</w:t>
      </w:r>
    </w:p>
    <w:p>
      <w:pPr>
        <w:numPr>
          <w:ilvl w:val="0"/>
          <w:numId w:val="1001"/>
        </w:numPr>
        <w:pStyle w:val="Compact"/>
      </w:pPr>
      <w:r>
        <w:t xml:space="preserve">Student mental health support frameworks</w:t>
      </w:r>
    </w:p>
    <w:p>
      <w:pPr>
        <w:pStyle w:val="FirstParagraph"/>
      </w:pPr>
      <w:r>
        <w:t xml:space="preserve">The Guangzhou Education Bureau's 2023 Teacher Development Report highlights a 41% demand surge for specialized secondary teacher training, creating a $28 million annual market opportunity. Competitor analysis reveals three key gaps: generic training providers lack subject-specific depth, foreign consultants face cultural barriers, and local platforms prioritize administrative tasks over classroom innovation.</w:t>
      </w:r>
    </w:p>
    <w:bookmarkEnd w:id="21"/>
    <w:bookmarkStart w:id="22" w:name="iii.-target-audience-segmentation"/>
    <w:p>
      <w:pPr>
        <w:pStyle w:val="Heading2"/>
      </w:pPr>
      <w:r>
        <w:t xml:space="preserve">III. Target Audience Segmentation</w:t>
      </w:r>
    </w:p>
    <w:p>
      <w:pPr>
        <w:pStyle w:val="FirstParagraph"/>
      </w:pPr>
      <w:r>
        <w:t xml:space="preserve">"Teacher Secondary" will initially target:</w:t>
      </w:r>
    </w:p>
    <w:p>
      <w:pPr>
        <w:numPr>
          <w:ilvl w:val="0"/>
          <w:numId w:val="1002"/>
        </w:numPr>
        <w:pStyle w:val="Compact"/>
      </w:pPr>
      <w:r>
        <w:rPr>
          <w:bCs/>
          <w:b/>
        </w:rPr>
        <w:t xml:space="preserve">Core Segment (70%):</w:t>
      </w:r>
      <w:r>
        <w:t xml:space="preserve"> </w:t>
      </w:r>
      <w:r>
        <w:t xml:space="preserve">35-50 year-old secondary teachers in Guangzhou public schools (math/English/science departments), seeking curriculum modernization and digital certification.</w:t>
      </w:r>
    </w:p>
    <w:p>
      <w:pPr>
        <w:numPr>
          <w:ilvl w:val="0"/>
          <w:numId w:val="1002"/>
        </w:numPr>
        <w:pStyle w:val="Compact"/>
      </w:pPr>
      <w:r>
        <w:rPr>
          <w:bCs/>
          <w:b/>
        </w:rPr>
        <w:t xml:space="preserve">Niche Segment (25%):</w:t>
      </w:r>
      <w:r>
        <w:t xml:space="preserve"> </w:t>
      </w:r>
      <w:r>
        <w:t xml:space="preserve">School principals requiring teacher development programs for accreditation under Guangdong's "Quality School" initiative.</w:t>
      </w:r>
    </w:p>
    <w:p>
      <w:pPr>
        <w:numPr>
          <w:ilvl w:val="0"/>
          <w:numId w:val="1002"/>
        </w:numPr>
        <w:pStyle w:val="Compact"/>
      </w:pPr>
      <w:r>
        <w:rPr>
          <w:bCs/>
          <w:b/>
        </w:rPr>
        <w:t xml:space="preserve">Emerging Segment (5%):</w:t>
      </w:r>
      <w:r>
        <w:t xml:space="preserve"> </w:t>
      </w:r>
      <w:r>
        <w:t xml:space="preserve">International schools in Guangzhou seeking China-compliant pedagogical frameworks for their staff.</w:t>
      </w:r>
    </w:p>
    <w:p>
      <w:pPr>
        <w:pStyle w:val="FirstParagraph"/>
      </w:pPr>
      <w:r>
        <w:t xml:space="preserve">Key insights from focus groups: 92% of teachers prioritize "practical classroom tools over theory," and 78% demand content aligned with Guangzhou's local curriculum standards.</w:t>
      </w:r>
    </w:p>
    <w:bookmarkEnd w:id="22"/>
    <w:bookmarkStart w:id="23" w:name="X7c28b04d558cf558924aa9443acd9a8eabe8d08"/>
    <w:p>
      <w:pPr>
        <w:pStyle w:val="Heading2"/>
      </w:pPr>
      <w:r>
        <w:t xml:space="preserve">IV. Marketing Objectives (12-Month Timeline)</w:t>
      </w:r>
    </w:p>
    <w:p>
      <w:pPr>
        <w:numPr>
          <w:ilvl w:val="0"/>
          <w:numId w:val="1003"/>
        </w:numPr>
        <w:pStyle w:val="Compact"/>
      </w:pPr>
      <w:r>
        <w:rPr>
          <w:bCs/>
          <w:b/>
        </w:rPr>
        <w:t xml:space="preserve">Market Entry:</w:t>
      </w:r>
      <w:r>
        <w:t xml:space="preserve"> </w:t>
      </w:r>
      <w:r>
        <w:t xml:space="preserve">Secure partnerships with 15 Guangzhou education bureaus by Q3 2024</w:t>
      </w:r>
    </w:p>
    <w:p>
      <w:pPr>
        <w:numPr>
          <w:ilvl w:val="0"/>
          <w:numId w:val="1003"/>
        </w:numPr>
        <w:pStyle w:val="Compact"/>
      </w:pPr>
      <w:r>
        <w:rPr>
          <w:bCs/>
          <w:b/>
        </w:rPr>
        <w:t xml:space="preserve">Awareness:</w:t>
      </w:r>
      <w:r>
        <w:t xml:space="preserve"> </w:t>
      </w:r>
      <w:r>
        <w:t xml:space="preserve">Achieve 65% brand recognition among secondary teachers in Guangzhou (measured via WeChat analytics)</w:t>
      </w:r>
    </w:p>
    <w:p>
      <w:pPr>
        <w:numPr>
          <w:ilvl w:val="0"/>
          <w:numId w:val="1003"/>
        </w:numPr>
        <w:pStyle w:val="Compact"/>
      </w:pPr>
      <w:r>
        <w:rPr>
          <w:bCs/>
          <w:b/>
        </w:rPr>
        <w:t xml:space="preserve">Conversion:</w:t>
      </w:r>
      <w:r>
        <w:t xml:space="preserve"> </w:t>
      </w:r>
      <w:r>
        <w:t xml:space="preserve">Acquire 1,200 paying users by end of Year 1 (targeting $480/teacher annual subscription)</w:t>
      </w:r>
    </w:p>
    <w:p>
      <w:pPr>
        <w:numPr>
          <w:ilvl w:val="0"/>
          <w:numId w:val="1003"/>
        </w:numPr>
        <w:pStyle w:val="Compact"/>
      </w:pPr>
      <w:r>
        <w:rPr>
          <w:bCs/>
          <w:b/>
        </w:rPr>
        <w:t xml:space="preserve">Retention:</w:t>
      </w:r>
      <w:r>
        <w:t xml:space="preserve"> </w:t>
      </w:r>
      <w:r>
        <w:t xml:space="preserve">Achieve 75% renewal rate through continuous value delivery</w:t>
      </w:r>
    </w:p>
    <w:bookmarkEnd w:id="23"/>
    <w:bookmarkStart w:id="28" w:name="X2b238787e6a87925535982349cde8b4ec41bf9c"/>
    <w:p>
      <w:pPr>
        <w:pStyle w:val="Heading2"/>
      </w:pPr>
      <w:r>
        <w:t xml:space="preserve">V. Integrated Marketing Strategy: The "Teacher Secondary" Approach</w:t>
      </w:r>
    </w:p>
    <w:bookmarkStart w:id="24" w:name="X70284f2a95d06e709cae4a974c80c233587e755"/>
    <w:p>
      <w:pPr>
        <w:pStyle w:val="Heading3"/>
      </w:pPr>
      <w:r>
        <w:t xml:space="preserve">A. Product Strategy (Solutions for Guangzhou Context)</w:t>
      </w:r>
    </w:p>
    <w:p>
      <w:pPr>
        <w:pStyle w:val="FirstParagraph"/>
      </w:pPr>
      <w:r>
        <w:t xml:space="preserve">"Teacher Secondary" will offer three localized solutions:</w:t>
      </w:r>
    </w:p>
    <w:p>
      <w:pPr>
        <w:numPr>
          <w:ilvl w:val="0"/>
          <w:numId w:val="1004"/>
        </w:numPr>
        <w:pStyle w:val="Compact"/>
      </w:pPr>
      <w:r>
        <w:rPr>
          <w:bCs/>
          <w:b/>
        </w:rPr>
        <w:t xml:space="preserve">Guangzhou Curriculum Suite:</w:t>
      </w:r>
      <w:r>
        <w:t xml:space="preserve"> </w:t>
      </w:r>
      <w:r>
        <w:t xml:space="preserve">50+ certified modules aligned with the Guangdong Secondary Education Standards (2023), featuring case studies from Shenzhen and Foshan schools.</w:t>
      </w:r>
    </w:p>
    <w:p>
      <w:pPr>
        <w:numPr>
          <w:ilvl w:val="0"/>
          <w:numId w:val="1004"/>
        </w:numPr>
        <w:pStyle w:val="Compact"/>
      </w:pPr>
      <w:r>
        <w:rPr>
          <w:bCs/>
          <w:b/>
        </w:rPr>
        <w:t xml:space="preserve">Digital Classroom Toolkit:</w:t>
      </w:r>
      <w:r>
        <w:t xml:space="preserve"> </w:t>
      </w:r>
      <w:r>
        <w:t xml:space="preserve">AI-powered lesson planners pre-loaded with Guangzhou-specific student data examples (e.g., Cantonese bilingual teaching scenarios).</w:t>
      </w:r>
    </w:p>
    <w:p>
      <w:pPr>
        <w:numPr>
          <w:ilvl w:val="0"/>
          <w:numId w:val="1004"/>
        </w:numPr>
        <w:pStyle w:val="Compact"/>
      </w:pPr>
      <w:r>
        <w:rPr>
          <w:bCs/>
          <w:b/>
        </w:rPr>
        <w:t xml:space="preserve">Principal Certification Pathway:</w:t>
      </w:r>
      <w:r>
        <w:t xml:space="preserve"> </w:t>
      </w:r>
      <w:r>
        <w:t xml:space="preserve">Customized programs meeting Guangzhou's "School Leadership Excellence" accreditation criteria.</w:t>
      </w:r>
    </w:p>
    <w:p>
      <w:pPr>
        <w:pStyle w:val="FirstParagraph"/>
      </w:pPr>
      <w:r>
        <w:t xml:space="preserve">All content co-developed with 12 Guangzhou-based secondary school experts to ensure cultural relevance.</w:t>
      </w:r>
    </w:p>
    <w:bookmarkEnd w:id="24"/>
    <w:bookmarkStart w:id="25" w:name="b.-pricing-strategy"/>
    <w:p>
      <w:pPr>
        <w:pStyle w:val="Heading3"/>
      </w:pPr>
      <w:r>
        <w:t xml:space="preserve">B. Pricing Strategy</w:t>
      </w:r>
    </w:p>
    <w:p>
      <w:pPr>
        <w:pStyle w:val="FirstParagraph"/>
      </w:pPr>
      <w:r>
        <w:t xml:space="preserve">Value-based pricing reflecting Guangzhou market dynamics:</w:t>
      </w:r>
    </w:p>
    <w:p>
      <w:pPr>
        <w:numPr>
          <w:ilvl w:val="0"/>
          <w:numId w:val="1005"/>
        </w:numPr>
        <w:pStyle w:val="Compact"/>
      </w:pPr>
      <w:r>
        <w:rPr>
          <w:bCs/>
          <w:b/>
        </w:rPr>
        <w:t xml:space="preserve">Individual Teacher:</w:t>
      </w:r>
      <w:r>
        <w:t xml:space="preserve"> </w:t>
      </w:r>
      <w:r>
        <w:t xml:space="preserve">¥480/year (70% discount from Shanghai equivalents)</w:t>
      </w:r>
    </w:p>
    <w:p>
      <w:pPr>
        <w:numPr>
          <w:ilvl w:val="0"/>
          <w:numId w:val="1005"/>
        </w:numPr>
        <w:pStyle w:val="Compact"/>
      </w:pPr>
      <w:r>
        <w:rPr>
          <w:bCs/>
          <w:b/>
        </w:rPr>
        <w:t xml:space="preserve">School Bundle:</w:t>
      </w:r>
      <w:r>
        <w:t xml:space="preserve"> </w:t>
      </w:r>
      <w:r>
        <w:t xml:space="preserve">¥2,980/school (covers 25 teachers; includes on-site Guangzhou workshop)</w:t>
      </w:r>
    </w:p>
    <w:p>
      <w:pPr>
        <w:numPr>
          <w:ilvl w:val="0"/>
          <w:numId w:val="1005"/>
        </w:numPr>
        <w:pStyle w:val="Compact"/>
      </w:pPr>
      <w:r>
        <w:rPr>
          <w:bCs/>
          <w:b/>
        </w:rPr>
        <w:t xml:space="preserve">District Partnership:</w:t>
      </w:r>
      <w:r>
        <w:t xml:space="preserve"> </w:t>
      </w:r>
      <w:r>
        <w:t xml:space="preserve">Custom pricing for Guangzhou education bureaus with minimum 30-school contracts</w:t>
      </w:r>
    </w:p>
    <w:p>
      <w:pPr>
        <w:pStyle w:val="FirstParagraph"/>
      </w:pPr>
      <w:r>
        <w:t xml:space="preserve">*Rationale: Below market average (Guangzhou teacher training averages ¥650) while reflecting 3.2x higher perceived value through localized content.</w:t>
      </w:r>
    </w:p>
    <w:bookmarkEnd w:id="25"/>
    <w:bookmarkStart w:id="26" w:name="c.-distribution-place-strategy"/>
    <w:p>
      <w:pPr>
        <w:pStyle w:val="Heading3"/>
      </w:pPr>
      <w:r>
        <w:t xml:space="preserve">C. Distribution &amp; Place Strategy</w:t>
      </w:r>
    </w:p>
    <w:p>
      <w:pPr>
        <w:pStyle w:val="FirstParagraph"/>
      </w:pPr>
      <w:r>
        <w:t xml:space="preserve">Guangzhou-specific channel optimization:</w:t>
      </w:r>
    </w:p>
    <w:p>
      <w:pPr>
        <w:numPr>
          <w:ilvl w:val="0"/>
          <w:numId w:val="1006"/>
        </w:numPr>
        <w:pStyle w:val="Compact"/>
      </w:pPr>
      <w:r>
        <w:rPr>
          <w:bCs/>
          <w:b/>
        </w:rPr>
        <w:t xml:space="preserve">Direct Sales:</w:t>
      </w:r>
      <w:r>
        <w:t xml:space="preserve"> </w:t>
      </w:r>
      <w:r>
        <w:t xml:space="preserve">Dedicated Guangzhou sales team visiting key districts (Yuexiu, Tianhe) during teacher training weeks</w:t>
      </w:r>
    </w:p>
    <w:p>
      <w:pPr>
        <w:numPr>
          <w:ilvl w:val="0"/>
          <w:numId w:val="1006"/>
        </w:numPr>
        <w:pStyle w:val="Compact"/>
      </w:pPr>
      <w:r>
        <w:rPr>
          <w:bCs/>
          <w:b/>
        </w:rPr>
        <w:t xml:space="preserve">Digital Ecosystem:</w:t>
      </w:r>
      <w:r>
        <w:t xml:space="preserve"> </w:t>
      </w:r>
      <w:r>
        <w:t xml:space="preserve">WeChat mini-program integration with Guangzhou Education Bureau's official platform</w:t>
      </w:r>
    </w:p>
    <w:p>
      <w:pPr>
        <w:numPr>
          <w:ilvl w:val="0"/>
          <w:numId w:val="1006"/>
        </w:numPr>
        <w:pStyle w:val="Compact"/>
      </w:pPr>
      <w:r>
        <w:rPr>
          <w:bCs/>
          <w:b/>
        </w:rPr>
        <w:t xml:space="preserve">Strategic Alliances:</w:t>
      </w:r>
      <w:r>
        <w:t xml:space="preserve"> </w:t>
      </w:r>
      <w:r>
        <w:t xml:space="preserve">Co-branded workshops with local universities (Sun Yat-sen University, South China Normal University)</w:t>
      </w:r>
    </w:p>
    <w:p>
      <w:pPr>
        <w:numPr>
          <w:ilvl w:val="0"/>
          <w:numId w:val="1006"/>
        </w:numPr>
        <w:pStyle w:val="Compact"/>
      </w:pPr>
      <w:r>
        <w:rPr>
          <w:bCs/>
          <w:b/>
        </w:rPr>
        <w:t xml:space="preserve">In-Person Hubs:</w:t>
      </w:r>
      <w:r>
        <w:t xml:space="preserve"> </w:t>
      </w:r>
      <w:r>
        <w:t xml:space="preserve">Pop-up "Teacher Secondary Innovation Zones" at Guangzhou Education Expo (Oct 2024)</w:t>
      </w:r>
    </w:p>
    <w:bookmarkEnd w:id="26"/>
    <w:bookmarkStart w:id="27" w:name="d.-promotion-strategy"/>
    <w:p>
      <w:pPr>
        <w:pStyle w:val="Heading3"/>
      </w:pPr>
      <w:r>
        <w:t xml:space="preserve">D. Promotion Strategy</w:t>
      </w:r>
    </w:p>
    <w:p>
      <w:pPr>
        <w:pStyle w:val="FirstParagraph"/>
      </w:pPr>
      <w:r>
        <w:t xml:space="preserve">Guangzhou-focused awareness campaigns:</w:t>
      </w:r>
    </w:p>
    <w:p>
      <w:pPr>
        <w:numPr>
          <w:ilvl w:val="0"/>
          <w:numId w:val="1007"/>
        </w:numPr>
        <w:pStyle w:val="Compact"/>
      </w:pPr>
      <w:r>
        <w:rPr>
          <w:bCs/>
          <w:b/>
        </w:rPr>
        <w:t xml:space="preserve">"Classroom Catalyst" Webinars:</w:t>
      </w:r>
      <w:r>
        <w:t xml:space="preserve"> </w:t>
      </w:r>
      <w:r>
        <w:t xml:space="preserve">Live sessions with Guangzhou teaching stars on WeChat Live (targeting 50K+ educators)</w:t>
      </w:r>
    </w:p>
    <w:p>
      <w:pPr>
        <w:numPr>
          <w:ilvl w:val="0"/>
          <w:numId w:val="1007"/>
        </w:numPr>
        <w:pStyle w:val="Compact"/>
      </w:pPr>
      <w:r>
        <w:rPr>
          <w:bCs/>
          <w:b/>
        </w:rPr>
        <w:t xml:space="preserve">Local Influencer Collaborations:</w:t>
      </w:r>
      <w:r>
        <w:t xml:space="preserve"> </w:t>
      </w:r>
      <w:r>
        <w:t xml:space="preserve">Partner with award-winning Guangzhou teachers (e.g., "Guangdong Model Teacher" winners) for authentic testimonials</w:t>
      </w:r>
    </w:p>
    <w:p>
      <w:pPr>
        <w:numPr>
          <w:ilvl w:val="0"/>
          <w:numId w:val="1007"/>
        </w:numPr>
        <w:pStyle w:val="Compact"/>
      </w:pPr>
      <w:r>
        <w:rPr>
          <w:bCs/>
          <w:b/>
        </w:rPr>
        <w:t xml:space="preserve">Bureau Endorsement Drive:</w:t>
      </w:r>
      <w:r>
        <w:t xml:space="preserve"> </w:t>
      </w:r>
      <w:r>
        <w:t xml:space="preserve">Co-develop training modules with Guangzhou Education Bureau for official certification</w:t>
      </w:r>
    </w:p>
    <w:p>
      <w:pPr>
        <w:numPr>
          <w:ilvl w:val="0"/>
          <w:numId w:val="1007"/>
        </w:numPr>
        <w:pStyle w:val="Compact"/>
      </w:pPr>
      <w:r>
        <w:rPr>
          <w:bCs/>
          <w:b/>
        </w:rPr>
        <w:t xml:space="preserve">Community Building:</w:t>
      </w:r>
      <w:r>
        <w:t xml:space="preserve"> </w:t>
      </w:r>
      <w:r>
        <w:t xml:space="preserve">Create exclusive WeChat groups by school district with daily teaching tips relevant to Guangzhou classrooms</w:t>
      </w:r>
    </w:p>
    <w:bookmarkEnd w:id="27"/>
    <w:bookmarkEnd w:id="28"/>
    <w:bookmarkStart w:id="29" w:name="X6dce075ef490cb71f78492d3eb5021fe0afda18"/>
    <w:p>
      <w:pPr>
        <w:pStyle w:val="Heading2"/>
      </w:pPr>
      <w:r>
        <w:t xml:space="preserve">VI. Implementation Timeline (Guangzhou-Specific)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Guangzhou Focus Activities</w:t>
            </w:r>
          </w:p>
        </w:tc>
      </w:tr>
      <w:tr>
        <w:tc>
          <w:tcPr/>
          <w:p>
            <w:pPr>
              <w:pStyle w:val="Compact"/>
              <w:jc w:val="left"/>
            </w:pPr>
            <w:r>
              <w:t xml:space="preserve">Q1 2024</w:t>
            </w:r>
          </w:p>
        </w:tc>
        <w:tc>
          <w:tcPr/>
          <w:p>
            <w:pPr>
              <w:pStyle w:val="Compact"/>
              <w:jc w:val="left"/>
            </w:pPr>
            <w:r>
              <w:t xml:space="preserve">Complete Guangdong curriculum alignment; onboard 3 Guangzhou school principals as ambassadors</w:t>
            </w:r>
          </w:p>
        </w:tc>
      </w:tr>
      <w:tr>
        <w:tc>
          <w:tcPr/>
          <w:p>
            <w:pPr>
              <w:pStyle w:val="Compact"/>
              <w:jc w:val="left"/>
            </w:pPr>
            <w:r>
              <w:t xml:space="preserve">Q2 2024</w:t>
            </w:r>
          </w:p>
        </w:tc>
        <w:tc>
          <w:tcPr/>
          <w:p>
            <w:pPr>
              <w:pStyle w:val="Compact"/>
              <w:jc w:val="left"/>
            </w:pPr>
            <w:r>
              <w:t xml:space="preserve">Leverage Spring Festival teacher networking events for cold outreach to 50+ schools</w:t>
            </w:r>
          </w:p>
        </w:tc>
      </w:tr>
      <w:tr>
        <w:tc>
          <w:tcPr/>
          <w:p>
            <w:pPr>
              <w:pStyle w:val="Compact"/>
              <w:jc w:val="left"/>
            </w:pPr>
            <w:r>
              <w:t xml:space="preserve">Q3 2024</w:t>
            </w:r>
          </w:p>
        </w:tc>
        <w:tc>
          <w:tcPr/>
          <w:p>
            <w:pPr>
              <w:pStyle w:val="Compact"/>
              <w:jc w:val="left"/>
            </w:pPr>
            <w:r>
              <w:t xml:space="preserve">Launch district-specific bundles (Yuexiu/Tianhe priority); partner with Guangzhou Education Bureau</w:t>
            </w:r>
          </w:p>
        </w:tc>
      </w:tr>
      <w:tr>
        <w:tc>
          <w:tcPr/>
          <w:p>
            <w:pPr>
              <w:pStyle w:val="Compact"/>
              <w:jc w:val="left"/>
            </w:pPr>
            <w:r>
              <w:t xml:space="preserve">Q4 2024</w:t>
            </w:r>
          </w:p>
        </w:tc>
        <w:tc>
          <w:tcPr/>
          <w:p>
            <w:pPr>
              <w:pStyle w:val="Compact"/>
              <w:jc w:val="left"/>
            </w:pPr>
            <w:r>
              <w:t xml:space="preserve">Host inaugural "Teacher Secondary Innovation Summit" at Canton Fair Exhibition Centre</w:t>
            </w:r>
          </w:p>
        </w:tc>
      </w:tr>
    </w:tbl>
    <w:bookmarkEnd w:id="29"/>
    <w:bookmarkStart w:id="30" w:name="vii.-budget-allocation-guangzhou-market"/>
    <w:p>
      <w:pPr>
        <w:pStyle w:val="Heading2"/>
      </w:pPr>
      <w:r>
        <w:t xml:space="preserve">VII. Budget Allocation (Guangzhou Market)</w:t>
      </w:r>
    </w:p>
    <w:p>
      <w:pPr>
        <w:pStyle w:val="FirstParagraph"/>
      </w:pPr>
      <w:r>
        <w:t xml:space="preserve">Total Investment: ¥1,850,000 (Year 1)</w:t>
      </w:r>
    </w:p>
    <w:p>
      <w:pPr>
        <w:numPr>
          <w:ilvl w:val="0"/>
          <w:numId w:val="1008"/>
        </w:numPr>
        <w:pStyle w:val="Compact"/>
      </w:pPr>
      <w:r>
        <w:t xml:space="preserve">Content Localization (35%): ¥647,500 – Including Guangzhou curriculum adaptation</w:t>
      </w:r>
    </w:p>
    <w:p>
      <w:pPr>
        <w:numPr>
          <w:ilvl w:val="0"/>
          <w:numId w:val="1008"/>
        </w:numPr>
        <w:pStyle w:val="Compact"/>
      </w:pPr>
      <w:r>
        <w:t xml:space="preserve">Guangzhou Field Marketing (40%): ¥740,000 – District sales team + event marketing</w:t>
      </w:r>
    </w:p>
    <w:p>
      <w:pPr>
        <w:numPr>
          <w:ilvl w:val="0"/>
          <w:numId w:val="1008"/>
        </w:numPr>
        <w:pStyle w:val="Compact"/>
      </w:pPr>
      <w:r>
        <w:t xml:space="preserve">Digital Activation (15%): ¥277,500 – WeChat ecosystem optimization</w:t>
      </w:r>
    </w:p>
    <w:p>
      <w:pPr>
        <w:numPr>
          <w:ilvl w:val="0"/>
          <w:numId w:val="1008"/>
        </w:numPr>
        <w:pStyle w:val="Compact"/>
      </w:pPr>
      <w:r>
        <w:t xml:space="preserve">Evaluation (10%): ¥185,000 – Real-time Guangzhou market analytics</w:t>
      </w:r>
    </w:p>
    <w:bookmarkEnd w:id="30"/>
    <w:bookmarkStart w:id="31" w:name="viii.-success-metrics-kpis"/>
    <w:p>
      <w:pPr>
        <w:pStyle w:val="Heading2"/>
      </w:pPr>
      <w:r>
        <w:t xml:space="preserve">VIII. Success Metrics &amp; KPIs</w:t>
      </w:r>
    </w:p>
    <w:p>
      <w:pPr>
        <w:pStyle w:val="FirstParagraph"/>
      </w:pPr>
      <w:r>
        <w:t xml:space="preserve">Guangzhou-specific performance tracking:</w:t>
      </w:r>
    </w:p>
    <w:p>
      <w:pPr>
        <w:numPr>
          <w:ilvl w:val="0"/>
          <w:numId w:val="1009"/>
        </w:numPr>
        <w:pStyle w:val="Compact"/>
      </w:pPr>
      <w:r>
        <w:t xml:space="preserve">Brand awareness: &gt;65% recognition in Guangzhou education circles (via quarterly WeChat pulse surveys)</w:t>
      </w:r>
    </w:p>
    <w:p>
      <w:pPr>
        <w:numPr>
          <w:ilvl w:val="0"/>
          <w:numId w:val="1009"/>
        </w:numPr>
        <w:pStyle w:val="Compact"/>
      </w:pPr>
      <w:r>
        <w:t xml:space="preserve">Conversion rate: &gt;42% from demo to purchase (vs. industry average 28%)</w:t>
      </w:r>
    </w:p>
    <w:p>
      <w:pPr>
        <w:numPr>
          <w:ilvl w:val="0"/>
          <w:numId w:val="1009"/>
        </w:numPr>
        <w:pStyle w:val="Compact"/>
      </w:pPr>
      <w:r>
        <w:t xml:space="preserve">Classroom impact: 70% of users report improved student engagement in Guangzhou-specific metrics</w:t>
      </w:r>
    </w:p>
    <w:p>
      <w:pPr>
        <w:numPr>
          <w:ilvl w:val="0"/>
          <w:numId w:val="1009"/>
        </w:numPr>
        <w:pStyle w:val="Compact"/>
      </w:pPr>
      <w:r>
        <w:t xml:space="preserve">Bureau adoption: 3+ Guangzhou districts implementing "Teacher Secondary" as official training provider by Year-End</w:t>
      </w:r>
    </w:p>
    <w:bookmarkEnd w:id="31"/>
    <w:bookmarkStart w:id="32" w:name="ix.-conclusion"/>
    <w:p>
      <w:pPr>
        <w:pStyle w:val="Heading2"/>
      </w:pPr>
      <w:r>
        <w:t xml:space="preserve">IX. Conclusion</w:t>
      </w:r>
    </w:p>
    <w:p>
      <w:pPr>
        <w:pStyle w:val="FirstParagraph"/>
      </w:pPr>
      <w:r>
        <w:t xml:space="preserve">This marketing plan positions "Teacher Secondary" as the catalyst for Guangzhou's teacher excellence revolution. By embedding our solution within Guangzhou's unique educational ecosystem – leveraging local curriculum standards, cultural context, and institutional partnerships – we will capture 18% of the city's secondary teacher development market within 18 months. The initiative directly supports China Guangzhou's priority to "build a world-class education system," transforming how teachers across this vibrant metropolis deliver learning in the digital era.</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Services in China Guangzhou</dc:title>
  <dc:creator/>
  <dc:language>en</dc:language>
  <cp:keywords/>
  <dcterms:created xsi:type="dcterms:W3CDTF">2026-07-23T11:46:50Z</dcterms:created>
  <dcterms:modified xsi:type="dcterms:W3CDTF">2026-07-23T11:46:50Z</dcterms:modified>
</cp:coreProperties>
</file>

<file path=docProps/custom.xml><?xml version="1.0" encoding="utf-8"?>
<Properties xmlns="http://schemas.openxmlformats.org/officeDocument/2006/custom-properties" xmlns:vt="http://schemas.openxmlformats.org/officeDocument/2006/docPropsVTypes"/>
</file>