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32" w:name="X6ffc9f54f7e659479261c24a4b9c7a5841ae1a1"/>
    <w:p>
      <w:pPr>
        <w:pStyle w:val="Heading1"/>
      </w:pPr>
      <w:r>
        <w:t xml:space="preserve">Comprehensive Marketing Plan: Teacher Secondary Initiative in Colombia Bogotá</w:t>
      </w:r>
    </w:p>
    <w:bookmarkStart w:id="20" w:name="executive-summary"/>
    <w:p>
      <w:pPr>
        <w:pStyle w:val="Heading2"/>
      </w:pPr>
      <w:r>
        <w:t xml:space="preserve">Executive Summary</w:t>
      </w:r>
    </w:p>
    <w:p>
      <w:pPr>
        <w:pStyle w:val="FirstParagraph"/>
      </w:pPr>
      <w:r>
        <w:t xml:space="preserve">This Marketing Plan outlines strategic initiatives for "Teacher Secondary," a specialized professional development platform designed exclusively for secondary school educators in Colombia's capital, Bogotá. Targeting the critical need for upskilling and community support among 35,000+ secondary teachers across Bogotá's public and private institutions, this plan leverages localized cultural insights to position Teacher Secondary as the indispensable resource for pedagogical excellence. With a 12-month implementation timeline, we project capturing 15% market share in Bogotá's secondary teaching sector by Year 2 through culturally resonant digital engagement and partnership-driven outreach.</w:t>
      </w:r>
    </w:p>
    <w:bookmarkEnd w:id="20"/>
    <w:bookmarkStart w:id="21" w:name="X64957defc6fac7540632e704622fc53bd5460ab"/>
    <w:p>
      <w:pPr>
        <w:pStyle w:val="Heading2"/>
      </w:pPr>
      <w:r>
        <w:t xml:space="preserve">Situation Analysis: Context of Teacher Secondary in Colombia Bogotá</w:t>
      </w:r>
    </w:p>
    <w:p>
      <w:pPr>
        <w:pStyle w:val="FirstParagraph"/>
      </w:pPr>
      <w:r>
        <w:t xml:space="preserve">Colombia Bogotá faces acute challenges in secondary education: teacher attrition rates exceed 18% annually (UNESCO, 2023), with 68% of educators reporting insufficient professional development resources. Current solutions lack linguistic and cultural alignment—most international platforms ignore Colombia's national curriculum (Currículo Nacional) and Bogotá-specific classroom realities. Teacher Secondary addresses this gap by delivering Spanish-language, Bogotá-adapted training modules co-created with the Ministry of Education's Bogotá regional office. Competitor analysis reveals only two local platforms offering generic teacher training, but none provide our three pillars: (1) curriculum-aligned pedagogy for grades 6-11, (2) community forums moderated by Bogotá veteran teachers, and (3) offline access options for low-connectivity schools in districts like Soacha and Engativá.</w:t>
      </w:r>
    </w:p>
    <w:bookmarkEnd w:id="21"/>
    <w:bookmarkStart w:id="22" w:name="X969681b06723f35456035a37d65a539d711128e"/>
    <w:p>
      <w:pPr>
        <w:pStyle w:val="Heading2"/>
      </w:pPr>
      <w:r>
        <w:t xml:space="preserve">Target Audience: Defining Teacher Secondary's Core Community</w:t>
      </w:r>
    </w:p>
    <w:p>
      <w:pPr>
        <w:pStyle w:val="FirstParagraph"/>
      </w:pPr>
      <w:r>
        <w:t xml:space="preserve">Our primary audience comprises secondary school teachers aged 28–45 in Bogotá, with 3+ years of experience. This group exhibits high digital adoption (76% own smartphones) but low engagement with existing platforms due to irrelevant content. Secondary persona includes: "María López," a 35-year-old biology teacher at a public school in La Candelaria, struggling with student disengagement and seeking culturally relevant strategies for Bogotá's diverse classrooms. Teacher Secondary directly speaks to her needs through localized examples—e.g., lesson plans integrating Colombian social issues like urban migration or environmental conservation in the Andes—while respecting teachers' professional dignity.</w:t>
      </w:r>
    </w:p>
    <w:bookmarkEnd w:id="22"/>
    <w:bookmarkStart w:id="23" w:name="marketing-objectives-for-colombia-bogotá"/>
    <w:p>
      <w:pPr>
        <w:pStyle w:val="Heading2"/>
      </w:pPr>
      <w:r>
        <w:t xml:space="preserve">Marketing Objectives for Colombia Bogotá</w:t>
      </w:r>
    </w:p>
    <w:p>
      <w:pPr>
        <w:numPr>
          <w:ilvl w:val="0"/>
          <w:numId w:val="1001"/>
        </w:numPr>
        <w:pStyle w:val="Compact"/>
      </w:pPr>
      <w:r>
        <w:rPr>
          <w:bCs/>
          <w:b/>
        </w:rPr>
        <w:t xml:space="preserve">Brand Awareness:</w:t>
      </w:r>
      <w:r>
        <w:t xml:space="preserve"> </w:t>
      </w:r>
      <w:r>
        <w:t xml:space="preserve">Achieve 85% recognition among secondary teachers in Bogotá's 1,200+ schools within 18 months.</w:t>
      </w:r>
    </w:p>
    <w:p>
      <w:pPr>
        <w:numPr>
          <w:ilvl w:val="0"/>
          <w:numId w:val="1001"/>
        </w:numPr>
        <w:pStyle w:val="Compact"/>
      </w:pPr>
      <w:r>
        <w:rPr>
          <w:bCs/>
          <w:b/>
        </w:rPr>
        <w:t xml:space="preserve">User Acquisition:</w:t>
      </w:r>
      <w:r>
        <w:t xml:space="preserve"> </w:t>
      </w:r>
      <w:r>
        <w:t xml:space="preserve">Onboard 7,500 active users by Q4 2025 through targeted Bogotá campaigns.</w:t>
      </w:r>
    </w:p>
    <w:p>
      <w:pPr>
        <w:numPr>
          <w:ilvl w:val="0"/>
          <w:numId w:val="1001"/>
        </w:numPr>
        <w:pStyle w:val="Compact"/>
      </w:pPr>
      <w:r>
        <w:rPr>
          <w:bCs/>
          <w:b/>
        </w:rPr>
        <w:t xml:space="preserve">Community Growth:</w:t>
      </w:r>
      <w:r>
        <w:t xml:space="preserve"> </w:t>
      </w:r>
      <w:r>
        <w:t xml:space="preserve">Establish 35 teacher-led regional chapters across Bogotá's districts by Year 1.</w:t>
      </w:r>
    </w:p>
    <w:p>
      <w:pPr>
        <w:numPr>
          <w:ilvl w:val="0"/>
          <w:numId w:val="1001"/>
        </w:numPr>
        <w:pStyle w:val="Compact"/>
      </w:pPr>
      <w:r>
        <w:rPr>
          <w:bCs/>
          <w:b/>
        </w:rPr>
        <w:t xml:space="preserve">Revenue Goal:</w:t>
      </w:r>
      <w:r>
        <w:t xml:space="preserve"> </w:t>
      </w:r>
      <w:r>
        <w:t xml:space="preserve">Achieve $180,000 in annual subscriptions from schools (pricing: $4.99/month per teacher).</w:t>
      </w:r>
    </w:p>
    <w:bookmarkEnd w:id="23"/>
    <w:bookmarkStart w:id="27" w:name="marketing-strategies-tactics"/>
    <w:p>
      <w:pPr>
        <w:pStyle w:val="Heading2"/>
      </w:pPr>
      <w:r>
        <w:t xml:space="preserve">Marketing Strategies &amp; Tactics</w:t>
      </w:r>
    </w:p>
    <w:bookmarkStart w:id="24" w:name="Xb653db688949ed77cd599e656250a1bf867893f"/>
    <w:p>
      <w:pPr>
        <w:pStyle w:val="Heading3"/>
      </w:pPr>
      <w:r>
        <w:t xml:space="preserve">Localized Digital Campaigns for Colombia Bogotá</w:t>
      </w:r>
    </w:p>
    <w:p>
      <w:pPr>
        <w:pStyle w:val="FirstParagraph"/>
      </w:pPr>
      <w:r>
        <w:t xml:space="preserve">We deploy hyper-targeted social media and SMS strategies within Bogotá's educational ecosystem. Partnering with Bogotá's Mayor's Office of Education, we'll distribute exclusive "Teacher Secondary" content via WhatsApp—Colombia’s dominant communication tool—using localized dialects and references (e.g., "¡Hola profesor! ¿Necesitas ideas para tu clase de Historia en la Ciudad de Bogotá?"). Instagram Reels featuring Bogotá teachers sharing success stories (e.g., "How I used Teatro en Clase to teach Colombian history at Escuela Normal") will drive organic reach. All content will include #EducaciónBogotá and #TeacherSecondary hashtags.</w:t>
      </w:r>
    </w:p>
    <w:bookmarkEnd w:id="24"/>
    <w:bookmarkStart w:id="25" w:name="X3abedaf191a517f609a60b14d20b7b995f69c09"/>
    <w:p>
      <w:pPr>
        <w:pStyle w:val="Heading3"/>
      </w:pPr>
      <w:r>
        <w:t xml:space="preserve">Strategic Partnerships in Colombia's Educational Landscape</w:t>
      </w:r>
    </w:p>
    <w:p>
      <w:pPr>
        <w:pStyle w:val="FirstParagraph"/>
      </w:pPr>
      <w:r>
        <w:t xml:space="preserve">Key alliances position Teacher Secondary as the trusted solution for Bogotá educators:</w:t>
      </w:r>
    </w:p>
    <w:p>
      <w:pPr>
        <w:numPr>
          <w:ilvl w:val="0"/>
          <w:numId w:val="1002"/>
        </w:numPr>
        <w:pStyle w:val="Compact"/>
      </w:pPr>
      <w:r>
        <w:rPr>
          <w:bCs/>
          <w:b/>
        </w:rPr>
        <w:t xml:space="preserve">Ministry of Education (Bogotá Regional Office):</w:t>
      </w:r>
      <w:r>
        <w:t xml:space="preserve"> </w:t>
      </w:r>
      <w:r>
        <w:t xml:space="preserve">Co-host monthly webinars on national curriculum updates, embedding Teacher Secondary as the official resource.</w:t>
      </w:r>
    </w:p>
    <w:p>
      <w:pPr>
        <w:numPr>
          <w:ilvl w:val="0"/>
          <w:numId w:val="1002"/>
        </w:numPr>
        <w:pStyle w:val="Compact"/>
      </w:pPr>
      <w:r>
        <w:rPr>
          <w:bCs/>
          <w:b/>
        </w:rPr>
        <w:t xml:space="preserve">Universities (e.g., Universidad Nacional de Bogotá):</w:t>
      </w:r>
      <w:r>
        <w:t xml:space="preserve"> </w:t>
      </w:r>
      <w:r>
        <w:t xml:space="preserve">Integrate modules into teacher training programs, granting credits for completion.</w:t>
      </w:r>
    </w:p>
    <w:p>
      <w:pPr>
        <w:numPr>
          <w:ilvl w:val="0"/>
          <w:numId w:val="1002"/>
        </w:numPr>
        <w:pStyle w:val="Compact"/>
      </w:pPr>
      <w:r>
        <w:rPr>
          <w:bCs/>
          <w:b/>
        </w:rPr>
        <w:t xml:space="preserve">School Districts:</w:t>
      </w:r>
      <w:r>
        <w:t xml:space="preserve"> </w:t>
      </w:r>
      <w:r>
        <w:t xml:space="preserve">Offer free pilot programs to 50 public schools in high-need zones (Bosa, Usaquén) with subsidized annual licenses.</w:t>
      </w:r>
    </w:p>
    <w:bookmarkEnd w:id="25"/>
    <w:bookmarkStart w:id="26" w:name="cultural-integration-community-building"/>
    <w:p>
      <w:pPr>
        <w:pStyle w:val="Heading3"/>
      </w:pPr>
      <w:r>
        <w:t xml:space="preserve">Cultural Integration &amp; Community Building</w:t>
      </w:r>
    </w:p>
    <w:p>
      <w:pPr>
        <w:pStyle w:val="FirstParagraph"/>
      </w:pPr>
      <w:r>
        <w:t xml:space="preserve">Teacher Secondary’s Bogotá-specific strategy centers on cultural resonance. We host quarterly "Encuentros Educativos" (Educational Gatherings) at iconic local venues like Museo del Oro, where teachers network over coffee while discussing curriculum challenges. Each event features guest speakers from Bogotá's education leadership and includes a live demo of Teacher Secondary’s offline app—critical for schools with limited internet. Community moderators are veteran Bogotá teachers (e.g., "Profesor Carlos" from Colegio San Francisco), ensuring authentic peer support.</w:t>
      </w:r>
    </w:p>
    <w:bookmarkEnd w:id="26"/>
    <w:bookmarkEnd w:id="27"/>
    <w:bookmarkStart w:id="28" w:name="budget-allocation-colombia-bogotá-focus"/>
    <w:p>
      <w:pPr>
        <w:pStyle w:val="Heading2"/>
      </w:pPr>
      <w:r>
        <w:t xml:space="preserve">Budget Allocation: Colombia Bogotá Focus</w:t>
      </w:r>
    </w:p>
    <w:p>
      <w:pPr>
        <w:pStyle w:val="FirstParagraph"/>
      </w:pPr>
      <w:r>
        <w:t xml:space="preserve">Expense Category</w:t>
      </w:r>
    </w:p>
    <w:p>
      <w:pPr>
        <w:pStyle w:val="BodyText"/>
      </w:pPr>
      <w:r>
        <w:t xml:space="preserve">Allocation (%)</w:t>
      </w:r>
    </w:p>
    <w:p>
      <w:pPr>
        <w:pStyle w:val="BodyText"/>
      </w:pPr>
      <w:r>
        <w:t xml:space="preserve">Bogotá-Specific Use Case</w:t>
      </w:r>
    </w:p>
    <w:p>
      <w:pPr>
        <w:pStyle w:val="BodyText"/>
      </w:pPr>
      <w:r>
        <w:t xml:space="preserve">Digital Advertising (Meta, WhatsApp)</w:t>
      </w:r>
    </w:p>
    <w:p>
      <w:pPr>
        <w:pStyle w:val="BodyText"/>
      </w:pPr>
      <w:r>
        <w:t xml:space="preserve">35%</w:t>
      </w:r>
    </w:p>
    <w:p>
      <w:pPr>
        <w:pStyle w:val="BodyText"/>
      </w:pPr>
      <w:r>
        <w:t xml:space="preserve">Precise geotargeting in Bogotá’s 20 districts; ads in Spanish with local references</w:t>
      </w:r>
    </w:p>
    <w:p>
      <w:pPr>
        <w:pStyle w:val="BodyText"/>
      </w:pPr>
      <w:r>
        <w:t xml:space="preserve">Partnership Development</w:t>
      </w:r>
    </w:p>
    <w:p>
      <w:pPr>
        <w:pStyle w:val="BodyText"/>
      </w:pPr>
      <w:r>
        <w:rPr>
          <w:bCs/>
          <w:b/>
        </w:rPr>
        <w:t xml:space="preserve">30%</w:t>
      </w:r>
    </w:p>
    <w:p>
      <w:pPr>
        <w:pStyle w:val="BodyText"/>
      </w:pPr>
      <w:r>
        <w:t xml:space="preserve">Event Production (Bogotá Gatherings)</w:t>
      </w:r>
    </w:p>
    <w:p>
      <w:pPr>
        <w:pStyle w:val="BodyText"/>
      </w:pPr>
      <w:r>
        <w:t xml:space="preserve">20%</w:t>
      </w:r>
    </w:p>
    <w:p>
      <w:pPr>
        <w:pStyle w:val="BodyText"/>
      </w:pPr>
      <w:r>
        <w:t xml:space="preserve">Funding for 4 "Encuentros Educativos" in culturally significant Bogotá locations</w:t>
      </w:r>
    </w:p>
    <w:p>
      <w:pPr>
        <w:pStyle w:val="BodyText"/>
      </w:pPr>
      <w:r>
        <w:t xml:space="preserve">Content Localization</w:t>
      </w:r>
    </w:p>
    <w:p>
      <w:pPr>
        <w:pStyle w:val="BodyText"/>
      </w:pPr>
      <w:r>
        <w:rPr>
          <w:bCs/>
          <w:b/>
        </w:rPr>
        <w:t xml:space="preserve">15%</w:t>
      </w:r>
    </w:p>
    <w:bookmarkEnd w:id="28"/>
    <w:bookmarkStart w:id="29" w:name="Xdc59ec330e1ef95e3f44e7bafcdd0ed77868bb1"/>
    <w:p>
      <w:pPr>
        <w:pStyle w:val="Heading2"/>
      </w:pPr>
      <w:r>
        <w:t xml:space="preserve">Implementation Timeline: Colombia Bogotá Milestones</w:t>
      </w:r>
    </w:p>
    <w:p>
      <w:pPr>
        <w:pStyle w:val="FirstParagraph"/>
      </w:pPr>
      <w:r>
        <w:rPr>
          <w:bCs/>
          <w:b/>
        </w:rPr>
        <w:t xml:space="preserve">Months 1–3:</w:t>
      </w:r>
      <w:r>
        <w:t xml:space="preserve"> </w:t>
      </w:r>
      <w:r>
        <w:t xml:space="preserve">Launch Teacher Secondary app with Bogotá-specific content (e.g., "Urban Ecology Lessons for Schools in Suba"). Partner with 5 schools in the city center for pilot testing.</w:t>
      </w:r>
    </w:p>
    <w:p>
      <w:pPr>
        <w:pStyle w:val="BodyText"/>
      </w:pPr>
      <w:r>
        <w:rPr>
          <w:bCs/>
          <w:b/>
        </w:rPr>
        <w:t xml:space="preserve">Months 4–6:</w:t>
      </w:r>
      <w:r>
        <w:t xml:space="preserve"> </w:t>
      </w:r>
      <w:r>
        <w:t xml:space="preserve">Roll out "Encuentro Educativo" in La Candelaria; secure Ministry of Education endorsement. Drive acquisition via SMS campaigns targeting teachers’ work email domains (e.g., @mineducacion.gov.co).</w:t>
      </w:r>
    </w:p>
    <w:p>
      <w:pPr>
        <w:pStyle w:val="BodyText"/>
      </w:pPr>
      <w:r>
        <w:rPr>
          <w:bCs/>
          <w:b/>
        </w:rPr>
        <w:t xml:space="preserve">Months 7–12:</w:t>
      </w:r>
      <w:r>
        <w:t xml:space="preserve"> </w:t>
      </w:r>
      <w:r>
        <w:t xml:space="preserve">Expand to 50+ schools across all Bogotá districts; launch annual "Bogotá Teacher Impact Awards" celebrating user success stories.</w:t>
      </w:r>
    </w:p>
    <w:bookmarkEnd w:id="29"/>
    <w:bookmarkStart w:id="30" w:name="evaluation-metrics"/>
    <w:p>
      <w:pPr>
        <w:pStyle w:val="Heading2"/>
      </w:pPr>
      <w:r>
        <w:t xml:space="preserve">Evaluation Metrics</w:t>
      </w:r>
    </w:p>
    <w:p>
      <w:pPr>
        <w:pStyle w:val="FirstParagraph"/>
      </w:pPr>
      <w:r>
        <w:t xml:space="preserve">We measure success through Bogotá-specific KPIs:</w:t>
      </w:r>
    </w:p>
    <w:p>
      <w:pPr>
        <w:numPr>
          <w:ilvl w:val="0"/>
          <w:numId w:val="1003"/>
        </w:numPr>
        <w:pStyle w:val="Compact"/>
      </w:pPr>
      <w:r>
        <w:rPr>
          <w:bCs/>
          <w:b/>
        </w:rPr>
        <w:t xml:space="preserve">Local Engagement Rate:</w:t>
      </w:r>
      <w:r>
        <w:t xml:space="preserve"> </w:t>
      </w:r>
      <w:r>
        <w:t xml:space="preserve">% of Bogotá users completing 3+ modules/month (target: 55%)</w:t>
      </w:r>
    </w:p>
    <w:p>
      <w:pPr>
        <w:numPr>
          <w:ilvl w:val="0"/>
          <w:numId w:val="1003"/>
        </w:numPr>
        <w:pStyle w:val="Compact"/>
      </w:pPr>
      <w:r>
        <w:rPr>
          <w:bCs/>
          <w:b/>
        </w:rPr>
        <w:t xml:space="preserve">School Adoption Rate:</w:t>
      </w:r>
      <w:r>
        <w:t xml:space="preserve"> </w:t>
      </w:r>
      <w:r>
        <w:t xml:space="preserve">Number of schools in Colombia Bogotá subscribing (target: 200 by Year 1)</w:t>
      </w:r>
    </w:p>
    <w:p>
      <w:pPr>
        <w:numPr>
          <w:ilvl w:val="0"/>
          <w:numId w:val="1003"/>
        </w:numPr>
        <w:pStyle w:val="Compact"/>
      </w:pPr>
      <w:r>
        <w:rPr>
          <w:bCs/>
          <w:b/>
        </w:rPr>
        <w:t xml:space="preserve">Net Promoter Score (NPS):</w:t>
      </w:r>
      <w:r>
        <w:t xml:space="preserve"> </w:t>
      </w:r>
      <w:r>
        <w:t xml:space="preserve">Bogotá teacher satisfaction (&gt;40 NPS)</w:t>
      </w:r>
    </w:p>
    <w:bookmarkEnd w:id="30"/>
    <w:bookmarkStart w:id="31" w:name="X325a972e327100360c998954f617f034a501ec7"/>
    <w:p>
      <w:pPr>
        <w:pStyle w:val="Heading2"/>
      </w:pPr>
      <w:r>
        <w:t xml:space="preserve">Conclusion: Teacher Secondary as a Catalyst for Bogotá's Education Future</w:t>
      </w:r>
    </w:p>
    <w:p>
      <w:pPr>
        <w:pStyle w:val="FirstParagraph"/>
      </w:pPr>
      <w:r>
        <w:t xml:space="preserve">This Marketing Plan positions Teacher Secondary not merely as a service, but as the cultural heartbeat of Colombia's secondary education community in Bogotá. By embedding ourselves within the city’s educational fabric—through hyper-localized content, trusted partnerships, and community-driven events—we transform professional development from a transaction into a movement. As Bogotá’s educators adopt Teacher Secondary, they don’t just gain skills; they become part of a legacy rebuilding Colombia's classroom futures. This is more than a marketing strategy—it’s an investment in Bogotá where every teacher deserves to thrive.</w:t>
      </w:r>
    </w:p>
    <w:p>
      <w:pPr>
        <w:pStyle w:val="BodyText"/>
      </w:pPr>
      <w:r>
        <w:rPr>
          <w:iCs/>
          <w:i/>
        </w:rPr>
        <w:t xml:space="preserve">Marketing Plan | Teacher Secondary |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Colombia Bogotá</dc:title>
  <dc:creator/>
  <dc:language>en</dc:language>
  <cp:keywords/>
  <dcterms:created xsi:type="dcterms:W3CDTF">2025-12-12T15:24:33Z</dcterms:created>
  <dcterms:modified xsi:type="dcterms:W3CDTF">2025-12-12T15:24:33Z</dcterms:modified>
</cp:coreProperties>
</file>

<file path=docProps/custom.xml><?xml version="1.0" encoding="utf-8"?>
<Properties xmlns="http://schemas.openxmlformats.org/officeDocument/2006/custom-properties" xmlns:vt="http://schemas.openxmlformats.org/officeDocument/2006/docPropsVTypes"/>
</file>