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Services</w:t>
      </w:r>
      <w:r>
        <w:t xml:space="preserve"> </w:t>
      </w:r>
      <w:r>
        <w:t xml:space="preserve">for</w:t>
      </w:r>
      <w:r>
        <w:t xml:space="preserve"> </w:t>
      </w:r>
      <w:r>
        <w:t xml:space="preserve">Israel</w:t>
      </w:r>
      <w:r>
        <w:t xml:space="preserve"> </w:t>
      </w:r>
      <w:r>
        <w:t xml:space="preserve">Tel</w:t>
      </w:r>
      <w:r>
        <w:t xml:space="preserve"> </w:t>
      </w:r>
      <w:r>
        <w:t xml:space="preserve">Aviv</w:t>
      </w:r>
    </w:p>
    <w:bookmarkStart w:id="32" w:name="X882bc42543aa00761a98075d65cdcc621447c3a"/>
    <w:p>
      <w:pPr>
        <w:pStyle w:val="Heading1"/>
      </w:pPr>
      <w:r>
        <w:t xml:space="preserve">Comprehensive Marketing Plan for Teacher Secondary Professional Development in Israel Tel Aviv</w:t>
      </w:r>
    </w:p>
    <w:bookmarkStart w:id="20" w:name="executive-summary"/>
    <w:p>
      <w:pPr>
        <w:pStyle w:val="Heading2"/>
      </w:pPr>
      <w:r>
        <w:t xml:space="preserve">Executive Summary</w:t>
      </w:r>
    </w:p>
    <w:p>
      <w:pPr>
        <w:pStyle w:val="FirstParagraph"/>
      </w:pPr>
      <w:r>
        <w:t xml:space="preserve">This Marketing Plan outlines a targeted strategy to position "Teacher Secondary" as the premier professional development provider for secondary school educators across Israel Tel Aviv. With Tel Aviv's education sector facing unprecedented demand for specialized teacher training, this plan leverages the unique cultural, academic, and logistical landscape of Israel's most dynamic city. By focusing exclusively on secondary-level educators (grades 7-12), we address critical gaps in curriculum delivery, digital integration, and student engagement that directly impact Tel Aviv's diverse classroom environments. Our approach ensures every initiative aligns with Israeli Ministry of Education standards while delivering measurable outcomes for schools in Tel Aviv.</w:t>
      </w:r>
    </w:p>
    <w:bookmarkEnd w:id="20"/>
    <w:bookmarkStart w:id="21" w:name="market-analysis-israel-tel-aviv-context"/>
    <w:p>
      <w:pPr>
        <w:pStyle w:val="Heading2"/>
      </w:pPr>
      <w:r>
        <w:t xml:space="preserve">Market Analysis: Israel Tel Aviv Context</w:t>
      </w:r>
    </w:p>
    <w:p>
      <w:pPr>
        <w:pStyle w:val="FirstParagraph"/>
      </w:pPr>
      <w:r>
        <w:t xml:space="preserve">Tel Aviv’s secondary education ecosystem presents both challenges and opportunities. The city houses over 150 public and private secondary schools serving more than 100,000 students, with a rapidly growing immigrant population requiring culturally responsive teaching strategies. Recent Ministry of Education reports highlight a 32% increase in teacher certification requests for secondary subjects (2023), yet only 47% of Tel Aviv schools report adequate professional development capacity. Crucially,</w:t>
      </w:r>
      <w:r>
        <w:t xml:space="preserve"> </w:t>
      </w:r>
      <w:r>
        <w:rPr>
          <w:iCs/>
          <w:i/>
        </w:rPr>
        <w:t xml:space="preserve">Teacher Secondary</w:t>
      </w:r>
      <w:r>
        <w:t xml:space="preserve"> </w:t>
      </w:r>
      <w:r>
        <w:t xml:space="preserve">services must address Tel Aviv-specific needs: urban classroom diversity, high-stakes matriculation exams (Bagrut), and the urgent demand for STEM/tech integration in citywide school initiatives. Competitors fail to specialize in secondary-level nuances, creating a white space for our solution.</w:t>
      </w:r>
    </w:p>
    <w:bookmarkEnd w:id="21"/>
    <w:bookmarkStart w:id="22" w:name="target-audience"/>
    <w:p>
      <w:pPr>
        <w:pStyle w:val="Heading2"/>
      </w:pPr>
      <w:r>
        <w:t xml:space="preserve">Target Audience</w:t>
      </w:r>
    </w:p>
    <w:p>
      <w:pPr>
        <w:pStyle w:val="FirstParagraph"/>
      </w:pPr>
      <w:r>
        <w:t xml:space="preserve">Our core audience comprises:</w:t>
      </w:r>
    </w:p>
    <w:p>
      <w:pPr>
        <w:numPr>
          <w:ilvl w:val="0"/>
          <w:numId w:val="1001"/>
        </w:numPr>
        <w:pStyle w:val="Compact"/>
      </w:pPr>
      <w:r>
        <w:rPr>
          <w:bCs/>
          <w:b/>
        </w:rPr>
        <w:t xml:space="preserve">Secondary School Principals &amp; Curriculum Directors</w:t>
      </w:r>
      <w:r>
        <w:t xml:space="preserve">: Decision-makers in Tel Aviv public/private schools prioritizing teacher efficacy (e.g., at HaMidrasha, Reali School, or Bezalel Academy).</w:t>
      </w:r>
    </w:p>
    <w:p>
      <w:pPr>
        <w:numPr>
          <w:ilvl w:val="0"/>
          <w:numId w:val="1001"/>
        </w:numPr>
        <w:pStyle w:val="Compact"/>
      </w:pPr>
      <w:r>
        <w:rPr>
          <w:bCs/>
          <w:b/>
        </w:rPr>
        <w:t xml:space="preserve">Subject-Specific Teachers</w:t>
      </w:r>
      <w:r>
        <w:t xml:space="preserve">: STEM, humanities, and special education educators in Tel Aviv secondary schools requiring upskilling aligned with the Israeli National Curriculum.</w:t>
      </w:r>
    </w:p>
    <w:p>
      <w:pPr>
        <w:numPr>
          <w:ilvl w:val="0"/>
          <w:numId w:val="1001"/>
        </w:numPr>
        <w:pStyle w:val="Compact"/>
      </w:pPr>
      <w:r>
        <w:rPr>
          <w:bCs/>
          <w:b/>
        </w:rPr>
        <w:t xml:space="preserve">Municipal Education Officers</w:t>
      </w:r>
      <w:r>
        <w:t xml:space="preserve">: Tel Aviv-Yafo Municipality officials managing school partnerships and funding allocations.</w:t>
      </w:r>
    </w:p>
    <w:p>
      <w:pPr>
        <w:pStyle w:val="FirstParagraph"/>
      </w:pPr>
      <w:r>
        <w:t xml:space="preserve">Every initiative targets these stakeholders through channels where they operate daily—Tel Aviv’s education network, including the Tel Aviv Educational Center (TAE) and annual Israel Teacher Conferences held in the city.</w:t>
      </w:r>
    </w:p>
    <w:bookmarkEnd w:id="22"/>
    <w:bookmarkStart w:id="23" w:name="unique-value-proposition"/>
    <w:p>
      <w:pPr>
        <w:pStyle w:val="Heading2"/>
      </w:pPr>
      <w:r>
        <w:t xml:space="preserve">Unique Value Proposition</w:t>
      </w:r>
    </w:p>
    <w:p>
      <w:pPr>
        <w:pStyle w:val="FirstParagraph"/>
      </w:pPr>
      <w:r>
        <w:rPr>
          <w:iCs/>
          <w:i/>
        </w:rPr>
        <w:t xml:space="preserve">Teacher Secondary</w:t>
      </w:r>
      <w:r>
        <w:t xml:space="preserve"> </w:t>
      </w:r>
      <w:r>
        <w:t xml:space="preserve">delivers hyper-focused professional development exclusively for secondary educators across Israel Tel Aviv. Unlike generic training providers, we offer:</w:t>
      </w:r>
    </w:p>
    <w:p>
      <w:pPr>
        <w:numPr>
          <w:ilvl w:val="0"/>
          <w:numId w:val="1002"/>
        </w:numPr>
        <w:pStyle w:val="Compact"/>
      </w:pPr>
      <w:r>
        <w:rPr>
          <w:bCs/>
          <w:b/>
        </w:rPr>
        <w:t xml:space="preserve">Tel Aviv-Contextualized Modules:</w:t>
      </w:r>
      <w:r>
        <w:t xml:space="preserve"> </w:t>
      </w:r>
      <w:r>
        <w:t xml:space="preserve">Curriculum design based on real classroom data from schools like Yitzhak Rabin High School and Tzavta in Tel Aviv.</w:t>
      </w:r>
    </w:p>
    <w:p>
      <w:pPr>
        <w:numPr>
          <w:ilvl w:val="0"/>
          <w:numId w:val="1002"/>
        </w:numPr>
        <w:pStyle w:val="Compact"/>
      </w:pPr>
      <w:r>
        <w:rPr>
          <w:bCs/>
          <w:b/>
        </w:rPr>
        <w:t xml:space="preserve">Ministry-Aligned Certification:</w:t>
      </w:r>
      <w:r>
        <w:t xml:space="preserve"> </w:t>
      </w:r>
      <w:r>
        <w:t xml:space="preserve">Training approved by the Israeli Ministry of Education for continuing professional credits (60+ hours per course).</w:t>
      </w:r>
    </w:p>
    <w:p>
      <w:pPr>
        <w:numPr>
          <w:ilvl w:val="0"/>
          <w:numId w:val="1002"/>
        </w:numPr>
        <w:pStyle w:val="Compact"/>
      </w:pPr>
      <w:r>
        <w:rPr>
          <w:bCs/>
          <w:b/>
        </w:rPr>
        <w:t xml:space="preserve">Digital Integration Tools:</w:t>
      </w:r>
      <w:r>
        <w:t xml:space="preserve"> </w:t>
      </w:r>
      <w:r>
        <w:t xml:space="preserve">Platform-ready training for Tel Aviv schools’ mandatory 1:1 device programs.</w:t>
      </w:r>
    </w:p>
    <w:bookmarkEnd w:id="23"/>
    <w:bookmarkStart w:id="28" w:name="marketing-strategy-tactics"/>
    <w:p>
      <w:pPr>
        <w:pStyle w:val="Heading2"/>
      </w:pPr>
      <w:r>
        <w:t xml:space="preserve">Marketing Strategy &amp; Tactics</w:t>
      </w:r>
    </w:p>
    <w:bookmarkStart w:id="24" w:name="brand-positioning-in-israel-tel-aviv"/>
    <w:p>
      <w:pPr>
        <w:pStyle w:val="Heading3"/>
      </w:pPr>
      <w:r>
        <w:t xml:space="preserve">1. Brand Positioning in Israel Tel Aviv</w:t>
      </w:r>
    </w:p>
    <w:p>
      <w:pPr>
        <w:pStyle w:val="FirstParagraph"/>
      </w:pPr>
      <w:r>
        <w:t xml:space="preserve">We position</w:t>
      </w:r>
      <w:r>
        <w:t xml:space="preserve"> </w:t>
      </w:r>
      <w:r>
        <w:rPr>
          <w:iCs/>
          <w:i/>
        </w:rPr>
        <w:t xml:space="preserve">Teacher Secondary</w:t>
      </w:r>
      <w:r>
        <w:t xml:space="preserve"> </w:t>
      </w:r>
      <w:r>
        <w:t xml:space="preserve">as Tel Aviv’s "trusted partner for secondary educator excellence." All messaging emphasizes local impact: "Transforming classrooms across Israel Tel Aviv" appears on all materials. We avoid generic terms like "teacher training" in favor of location-specific language ("For the teachers of Tel Aviv," "Designed for Tel Aviv secondary schools"). Our logo incorporates the blue-and-white colors of Israeli education with a modern Tel Aviv skyline silhouette.</w:t>
      </w:r>
    </w:p>
    <w:bookmarkEnd w:id="24"/>
    <w:bookmarkStart w:id="25" w:name="localized-digital-campaigns"/>
    <w:p>
      <w:pPr>
        <w:pStyle w:val="Heading3"/>
      </w:pPr>
      <w:r>
        <w:t xml:space="preserve">2. Localized Digital Campaigns</w:t>
      </w:r>
    </w:p>
    <w:p>
      <w:pPr>
        <w:pStyle w:val="FirstParagraph"/>
      </w:pPr>
      <w:r>
        <w:t xml:space="preserve">We deploy precision-targeted digital advertising through:</w:t>
      </w:r>
    </w:p>
    <w:p>
      <w:pPr>
        <w:numPr>
          <w:ilvl w:val="0"/>
          <w:numId w:val="1003"/>
        </w:numPr>
        <w:pStyle w:val="Compact"/>
      </w:pPr>
      <w:r>
        <w:rPr>
          <w:bCs/>
          <w:b/>
        </w:rPr>
        <w:t xml:space="preserve">Google Ads:</w:t>
      </w:r>
      <w:r>
        <w:t xml:space="preserve"> </w:t>
      </w:r>
      <w:r>
        <w:t xml:space="preserve">Keywords like "secondary teacher training Tel Aviv," "Teacher Secondary certification Israel."</w:t>
      </w:r>
    </w:p>
    <w:p>
      <w:pPr>
        <w:numPr>
          <w:ilvl w:val="0"/>
          <w:numId w:val="1003"/>
        </w:numPr>
        <w:pStyle w:val="Compact"/>
      </w:pPr>
      <w:r>
        <w:rPr>
          <w:bCs/>
          <w:b/>
        </w:rPr>
        <w:t xml:space="preserve">LinkedIn Campaigns:</w:t>
      </w:r>
      <w:r>
        <w:t xml:space="preserve"> </w:t>
      </w:r>
      <w:r>
        <w:t xml:space="preserve">Targeting school principals in Tel Aviv-Yafo with case studies showing 35% average improvement in student engagement metrics.</w:t>
      </w:r>
    </w:p>
    <w:p>
      <w:pPr>
        <w:numPr>
          <w:ilvl w:val="0"/>
          <w:numId w:val="1003"/>
        </w:numPr>
        <w:pStyle w:val="Compact"/>
      </w:pPr>
      <w:r>
        <w:rPr>
          <w:bCs/>
          <w:b/>
        </w:rPr>
        <w:t xml:space="preserve">SEO Optimization:</w:t>
      </w:r>
      <w:r>
        <w:t xml:space="preserve"> </w:t>
      </w:r>
      <w:r>
        <w:t xml:space="preserve">Content focusing on "secondary education challenges in Tel Aviv" to capture local search demand.</w:t>
      </w:r>
    </w:p>
    <w:bookmarkEnd w:id="25"/>
    <w:bookmarkStart w:id="26" w:name="community-institutional-partnerships"/>
    <w:p>
      <w:pPr>
        <w:pStyle w:val="Heading3"/>
      </w:pPr>
      <w:r>
        <w:t xml:space="preserve">3. Community &amp; Institutional Partnerships</w:t>
      </w:r>
    </w:p>
    <w:p>
      <w:pPr>
        <w:pStyle w:val="FirstParagraph"/>
      </w:pPr>
      <w:r>
        <w:t xml:space="preserve">Prioritizing relationships with Tel Aviv-based entities:</w:t>
      </w:r>
    </w:p>
    <w:p>
      <w:pPr>
        <w:numPr>
          <w:ilvl w:val="0"/>
          <w:numId w:val="1004"/>
        </w:numPr>
        <w:pStyle w:val="Compact"/>
      </w:pPr>
      <w:r>
        <w:rPr>
          <w:bCs/>
          <w:b/>
        </w:rPr>
        <w:t xml:space="preserve">Collaborate with the Tel Aviv-Yafo Municipal Education Department:</w:t>
      </w:r>
      <w:r>
        <w:t xml:space="preserve"> </w:t>
      </w:r>
      <w:r>
        <w:t xml:space="preserve">Co-hosting free "Secondary Educator Forums" at city schools (e.g., at Yarkon Park Elementary, adjacent to secondary campuses).</w:t>
      </w:r>
    </w:p>
    <w:p>
      <w:pPr>
        <w:numPr>
          <w:ilvl w:val="0"/>
          <w:numId w:val="1004"/>
        </w:numPr>
        <w:pStyle w:val="Compact"/>
      </w:pPr>
      <w:r>
        <w:rPr>
          <w:bCs/>
          <w:b/>
        </w:rPr>
        <w:t xml:space="preserve">Partner with Tel Aviv University’s Education Faculty:</w:t>
      </w:r>
      <w:r>
        <w:t xml:space="preserve"> </w:t>
      </w:r>
      <w:r>
        <w:t xml:space="preserve">Offering certified courses for their student teachers, embedding</w:t>
      </w:r>
      <w:r>
        <w:t xml:space="preserve"> </w:t>
      </w:r>
      <w:r>
        <w:rPr>
          <w:iCs/>
          <w:i/>
        </w:rPr>
        <w:t xml:space="preserve">Teacher Secondary</w:t>
      </w:r>
      <w:r>
        <w:t xml:space="preserve"> </w:t>
      </w:r>
      <w:r>
        <w:t xml:space="preserve">in academic pipelines.</w:t>
      </w:r>
    </w:p>
    <w:p>
      <w:pPr>
        <w:numPr>
          <w:ilvl w:val="0"/>
          <w:numId w:val="1004"/>
        </w:numPr>
        <w:pStyle w:val="Compact"/>
      </w:pPr>
      <w:r>
        <w:rPr>
          <w:bCs/>
          <w:b/>
        </w:rPr>
        <w:t xml:space="preserve">Sponsor the Tel Aviv EdTech Summit:</w:t>
      </w:r>
      <w:r>
        <w:t xml:space="preserve"> </w:t>
      </w:r>
      <w:r>
        <w:t xml:space="preserve">Hosting workshops on "Digital Pedagogy for Tel Aviv Classrooms."</w:t>
      </w:r>
    </w:p>
    <w:bookmarkEnd w:id="26"/>
    <w:bookmarkStart w:id="27" w:name="performance-measurement"/>
    <w:p>
      <w:pPr>
        <w:pStyle w:val="Heading3"/>
      </w:pPr>
      <w:r>
        <w:t xml:space="preserve">4. Performance Measurement</w:t>
      </w:r>
    </w:p>
    <w:p>
      <w:pPr>
        <w:pStyle w:val="FirstParagraph"/>
      </w:pPr>
      <w:r>
        <w:t xml:space="preserve">We track success through Tel Aviv-specific KPIs:</w:t>
      </w:r>
    </w:p>
    <w:p>
      <w:pPr>
        <w:numPr>
          <w:ilvl w:val="0"/>
          <w:numId w:val="1005"/>
        </w:numPr>
        <w:pStyle w:val="Compact"/>
      </w:pPr>
      <w:r>
        <w:rPr>
          <w:bCs/>
          <w:b/>
        </w:rPr>
        <w:t xml:space="preserve">Local School Adoption Rate:</w:t>
      </w:r>
      <w:r>
        <w:t xml:space="preserve"> </w:t>
      </w:r>
      <w:r>
        <w:t xml:space="preserve">Target 25 new Tel Aviv schools by Q4 2024 (current market: ~18%).</w:t>
      </w:r>
    </w:p>
    <w:p>
      <w:pPr>
        <w:numPr>
          <w:ilvl w:val="0"/>
          <w:numId w:val="1005"/>
        </w:numPr>
        <w:pStyle w:val="Compact"/>
      </w:pPr>
      <w:r>
        <w:rPr>
          <w:bCs/>
          <w:b/>
        </w:rPr>
        <w:t xml:space="preserve">Certification Completion:</w:t>
      </w:r>
      <w:r>
        <w:t xml:space="preserve"> </w:t>
      </w:r>
      <w:r>
        <w:t xml:space="preserve">90%+ completion rate for Tel Aviv-based educators in all courses.</w:t>
      </w:r>
    </w:p>
    <w:p>
      <w:pPr>
        <w:numPr>
          <w:ilvl w:val="0"/>
          <w:numId w:val="1005"/>
        </w:numPr>
        <w:pStyle w:val="Compact"/>
      </w:pPr>
      <w:r>
        <w:rPr>
          <w:bCs/>
          <w:b/>
        </w:rPr>
        <w:t xml:space="preserve">Client Retention:</w:t>
      </w:r>
      <w:r>
        <w:t xml:space="preserve"> </w:t>
      </w:r>
      <w:r>
        <w:t xml:space="preserve">Achieve 75% repeat engagement from Tel Aviv schools within 12 months.</w:t>
      </w:r>
    </w:p>
    <w:bookmarkEnd w:id="27"/>
    <w:bookmarkEnd w:id="28"/>
    <w:bookmarkStart w:id="29" w:name="Xd0eadb8ea62fa3a7d7df2248ce09107bd47a8c0"/>
    <w:p>
      <w:pPr>
        <w:pStyle w:val="Heading2"/>
      </w:pPr>
      <w:r>
        <w:t xml:space="preserve">Budget Allocation: Focusing on Israel Tel Aviv</w:t>
      </w:r>
    </w:p>
    <w:p>
      <w:pPr>
        <w:pStyle w:val="FirstParagraph"/>
      </w:pPr>
      <w:r>
        <w:t xml:space="preserve">Total Marketing Budget: $85,000 (allocated 83% toward Tel Aviv-specific tactics):</w:t>
      </w:r>
    </w:p>
    <w:p>
      <w:pPr>
        <w:numPr>
          <w:ilvl w:val="0"/>
          <w:numId w:val="1006"/>
        </w:numPr>
        <w:pStyle w:val="Compact"/>
      </w:pPr>
      <w:r>
        <w:rPr>
          <w:bCs/>
          <w:b/>
        </w:rPr>
        <w:t xml:space="preserve">Local Events &amp; Partnerships (45%):</w:t>
      </w:r>
      <w:r>
        <w:t xml:space="preserve"> </w:t>
      </w:r>
      <w:r>
        <w:t xml:space="preserve">$38,250 for venue rentals at Tel Aviv schools, municipal collaboration events.</w:t>
      </w:r>
    </w:p>
    <w:p>
      <w:pPr>
        <w:numPr>
          <w:ilvl w:val="0"/>
          <w:numId w:val="1006"/>
        </w:numPr>
        <w:pStyle w:val="Compact"/>
      </w:pPr>
      <w:r>
        <w:rPr>
          <w:bCs/>
          <w:b/>
        </w:rPr>
        <w:t xml:space="preserve">Digital Targeting (30%):</w:t>
      </w:r>
      <w:r>
        <w:t xml:space="preserve"> </w:t>
      </w:r>
      <w:r>
        <w:t xml:space="preserve">$25,500 for geo-fenced ads and LinkedIn campaigns within Tel Aviv-Yafo.</w:t>
      </w:r>
    </w:p>
    <w:p>
      <w:pPr>
        <w:numPr>
          <w:ilvl w:val="0"/>
          <w:numId w:val="1006"/>
        </w:numPr>
        <w:pStyle w:val="Compact"/>
      </w:pPr>
      <w:r>
        <w:rPr>
          <w:bCs/>
          <w:b/>
        </w:rPr>
        <w:t xml:space="preserve">Content Creation (15%):</w:t>
      </w:r>
      <w:r>
        <w:t xml:space="preserve"> </w:t>
      </w:r>
      <w:r>
        <w:t xml:space="preserve">$12,750 for videos featuring Tel Aviv teachers and case studies from local schools.</w:t>
      </w:r>
    </w:p>
    <w:p>
      <w:pPr>
        <w:numPr>
          <w:ilvl w:val="0"/>
          <w:numId w:val="1006"/>
        </w:numPr>
        <w:pStyle w:val="Compact"/>
      </w:pPr>
      <w:r>
        <w:rPr>
          <w:bCs/>
          <w:b/>
        </w:rPr>
        <w:t xml:space="preserve">Metrics &amp; Analytics (10%):</w:t>
      </w:r>
      <w:r>
        <w:t xml:space="preserve"> </w:t>
      </w:r>
      <w:r>
        <w:t xml:space="preserve">$8,500 for tracking localized engagement data.</w:t>
      </w:r>
    </w:p>
    <w:bookmarkEnd w:id="29"/>
    <w:bookmarkStart w:id="30" w:name="timeline-q1-q4-2024-in-tel-aviv"/>
    <w:p>
      <w:pPr>
        <w:pStyle w:val="Heading2"/>
      </w:pPr>
      <w:r>
        <w:t xml:space="preserve">Timeline: Q1-Q4 2024 in Tel Aviv</w:t>
      </w:r>
    </w:p>
    <w:p>
      <w:pPr>
        <w:pStyle w:val="FirstParagraph"/>
      </w:pPr>
      <w:r>
        <w:rPr>
          <w:bCs/>
          <w:b/>
        </w:rPr>
        <w:t xml:space="preserve">Q1:</w:t>
      </w:r>
      <w:r>
        <w:t xml:space="preserve"> </w:t>
      </w:r>
      <w:r>
        <w:t xml:space="preserve">Secure partnerships with Tel Aviv Municipal Education Department; launch SEO/content focused on "secondary teacher shortages in Tel Aviv."</w:t>
      </w:r>
      <w:r>
        <w:t xml:space="preserve"> </w:t>
      </w:r>
      <w:r>
        <w:rPr>
          <w:bCs/>
          <w:b/>
        </w:rPr>
        <w:t xml:space="preserve">Q2:</w:t>
      </w:r>
      <w:r>
        <w:t xml:space="preserve"> </w:t>
      </w:r>
      <w:r>
        <w:t xml:space="preserve">Host first citywide "Teacher Secondary Summit" at Beit HaMikdash (Tel Aviv), attracting 300+ educators.</w:t>
      </w:r>
      <w:r>
        <w:t xml:space="preserve"> </w:t>
      </w:r>
      <w:r>
        <w:rPr>
          <w:bCs/>
          <w:b/>
        </w:rPr>
        <w:t xml:space="preserve">Q3:</w:t>
      </w:r>
      <w:r>
        <w:t xml:space="preserve"> </w:t>
      </w:r>
      <w:r>
        <w:t xml:space="preserve">Roll out certification courses for STEM teachers aligned with Tel Aviv’s new science curriculum.</w:t>
      </w:r>
      <w:r>
        <w:t xml:space="preserve"> </w:t>
      </w:r>
      <w:r>
        <w:rPr>
          <w:bCs/>
          <w:b/>
        </w:rPr>
        <w:t xml:space="preserve">Q4:</w:t>
      </w:r>
      <w:r>
        <w:t xml:space="preserve"> </w:t>
      </w:r>
      <w:r>
        <w:t xml:space="preserve">Achieve 25 schools in Israel Tel Aviv; present "Tel Aviv Impact Report" at the Ministry of Education.</w:t>
      </w:r>
    </w:p>
    <w:bookmarkEnd w:id="30"/>
    <w:bookmarkStart w:id="31" w:name="Xc2b149b23e245a95db3250ff0af498b43c2cfe5"/>
    <w:p>
      <w:pPr>
        <w:pStyle w:val="Heading2"/>
      </w:pPr>
      <w:r>
        <w:t xml:space="preserve">Conclusion: Why This Works for Israel Tel Aviv</w:t>
      </w:r>
    </w:p>
    <w:p>
      <w:pPr>
        <w:pStyle w:val="FirstParagraph"/>
      </w:pPr>
      <w:r>
        <w:t xml:space="preserve">This Marketing Plan ensures every element—from messaging to budget—centers on the unique needs of secondary educators in Israel Tel Aviv. By embedding ourselves within Tel Aviv’s educational infrastructure, emphasizing localization (not just "Israel" as a broad term), and delivering tangible results for schools like those in the Tel Aviv-Yafo municipality,</w:t>
      </w:r>
      <w:r>
        <w:t xml:space="preserve"> </w:t>
      </w:r>
      <w:r>
        <w:rPr>
          <w:iCs/>
          <w:i/>
        </w:rPr>
        <w:t xml:space="preserve">Teacher Secondary</w:t>
      </w:r>
      <w:r>
        <w:t xml:space="preserve"> </w:t>
      </w:r>
      <w:r>
        <w:t xml:space="preserve">becomes indispensable. We don’t just offer training; we become the catalyst for excellence in Tel Aviv’s classrooms. As one Tel Aviv school principal noted: "We needed a partner who understood our city’s challenges—</w:t>
      </w:r>
      <w:r>
        <w:rPr>
          <w:iCs/>
          <w:i/>
        </w:rPr>
        <w:t xml:space="preserve">Teacher Secondary</w:t>
      </w:r>
      <w:r>
        <w:t xml:space="preserve"> </w:t>
      </w:r>
      <w:r>
        <w:t xml:space="preserve">is it." This plan turns that sentiment into measurable growth across Israel Tel Aviv.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Services for Israel Tel Aviv</dc:title>
  <dc:creator/>
  <dc:language>en</dc:language>
  <cp:keywords/>
  <dcterms:created xsi:type="dcterms:W3CDTF">2025-12-13T11:37:48Z</dcterms:created>
  <dcterms:modified xsi:type="dcterms:W3CDTF">2025-12-13T11:37:48Z</dcterms:modified>
</cp:coreProperties>
</file>

<file path=docProps/custom.xml><?xml version="1.0" encoding="utf-8"?>
<Properties xmlns="http://schemas.openxmlformats.org/officeDocument/2006/custom-properties" xmlns:vt="http://schemas.openxmlformats.org/officeDocument/2006/docPropsVTypes"/>
</file>