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Italy</w:t>
      </w:r>
      <w:r>
        <w:t xml:space="preserve"> </w:t>
      </w:r>
      <w:r>
        <w:t xml:space="preserve">Rome</w:t>
      </w:r>
    </w:p>
    <w:bookmarkStart w:id="31" w:name="Xb21427b40dd9d8c56eaf7e697c3a3242d013ec2"/>
    <w:p>
      <w:pPr>
        <w:pStyle w:val="Heading1"/>
      </w:pPr>
      <w:r>
        <w:t xml:space="preserve">Marketing Plan: Elevating Secondary Teacher Excellence in Rome, Italy</w:t>
      </w:r>
    </w:p>
    <w:bookmarkStart w:id="20" w:name="executive-summary"/>
    <w:p>
      <w:pPr>
        <w:pStyle w:val="Heading2"/>
      </w:pPr>
      <w:r>
        <w:t xml:space="preserve">Executive Summary</w:t>
      </w:r>
    </w:p>
    <w:p>
      <w:pPr>
        <w:pStyle w:val="FirstParagraph"/>
      </w:pPr>
      <w:r>
        <w:t xml:space="preserve">This comprehensive Marketing Plan outlines a strategic initiative to position "Teacher Secondary" as the premier professional development and support service for secondary school educators across Rome, Italy. Aligned with Italy’s educational priorities under the Ministry of Education (MIUR) and responsive to Rome’s unique cultural and pedagogical landscape, this plan targets secondary teachers (ages 11–18) facing systemic challenges including large class sizes, evolving curriculum demands (*Programmi Ministeriali*), and work-life balance pressures. By integrating hyper-localized solutions with national educational frameworks, "Teacher Secondary" will become the indispensable partner for Rome’s educators—driving engagement, retention, and excellence in Italy’s capital city.</w:t>
      </w:r>
    </w:p>
    <w:bookmarkEnd w:id="20"/>
    <w:bookmarkStart w:id="21" w:name="Xd70c06ba442dee6b385d46f466a4f185e15926a"/>
    <w:p>
      <w:pPr>
        <w:pStyle w:val="Heading2"/>
      </w:pPr>
      <w:r>
        <w:t xml:space="preserve">Market Analysis: Rome's Educational Landscape</w:t>
      </w:r>
    </w:p>
    <w:p>
      <w:pPr>
        <w:pStyle w:val="FirstParagraph"/>
      </w:pPr>
      <w:r>
        <w:t xml:space="preserve">Rome hosts over 300 secondary schools (ISCED Level 3), serving more than 150,000 students. Despite Italy’s strong educational heritage, Rome’s secondary teachers grapple with critical issues:</w:t>
      </w:r>
    </w:p>
    <w:p>
      <w:pPr>
        <w:numPr>
          <w:ilvl w:val="0"/>
          <w:numId w:val="1001"/>
        </w:numPr>
        <w:pStyle w:val="Compact"/>
      </w:pPr>
      <w:r>
        <w:t xml:space="preserve">47% report burnout due to administrative burdens (2023 MIUR Survey)</w:t>
      </w:r>
    </w:p>
    <w:p>
      <w:pPr>
        <w:numPr>
          <w:ilvl w:val="0"/>
          <w:numId w:val="1001"/>
        </w:numPr>
        <w:pStyle w:val="Compact"/>
      </w:pPr>
      <w:r>
        <w:t xml:space="preserve">68% seek modern pedagogical tools aligned with Rome’s diverse student demographics</w:t>
      </w:r>
    </w:p>
    <w:p>
      <w:pPr>
        <w:numPr>
          <w:ilvl w:val="0"/>
          <w:numId w:val="1001"/>
        </w:numPr>
        <w:pStyle w:val="Compact"/>
      </w:pPr>
      <w:r>
        <w:t xml:space="preserve">The city’s rapid urbanization strains resources in historic districts like Trastevere and San Lorenzo</w:t>
      </w:r>
    </w:p>
    <w:p>
      <w:pPr>
        <w:pStyle w:val="FirstParagraph"/>
      </w:pPr>
      <w:r>
        <w:t xml:space="preserve">The Italian government’s *Buona Scuola* reforms emphasize teacher training, yet Rome lags in localized support. Competitors offer generic services but fail to address Rome-specific contexts—such as integrating Roman cultural heritage into lesson plans or navigating the unique bureaucracy of Lazio’s school districts. This gap presents a prime opportunity for "Teacher Secondary" to dominate the market.</w:t>
      </w:r>
    </w:p>
    <w:bookmarkEnd w:id="21"/>
    <w:bookmarkStart w:id="22" w:name="Xf63cfd9423eab68923ac49e12ba37212896ea14"/>
    <w:p>
      <w:pPr>
        <w:pStyle w:val="Heading2"/>
      </w:pPr>
      <w:r>
        <w:t xml:space="preserve">Target Audience: Defining "Teacher Secondary" in Rome</w:t>
      </w:r>
    </w:p>
    <w:p>
      <w:pPr>
        <w:pStyle w:val="FirstParagraph"/>
      </w:pPr>
      <w:r>
        <w:t xml:space="preserve">Our primary audience is secondary school teachers (ages 30–55) working across Rome’s public and private institutions. This segment prioritizes:</w:t>
      </w:r>
    </w:p>
    <w:p>
      <w:pPr>
        <w:numPr>
          <w:ilvl w:val="0"/>
          <w:numId w:val="1002"/>
        </w:numPr>
        <w:pStyle w:val="Compact"/>
      </w:pPr>
      <w:r>
        <w:rPr>
          <w:bCs/>
          <w:b/>
        </w:rPr>
        <w:t xml:space="preserve">Cultural Relevance:</w:t>
      </w:r>
      <w:r>
        <w:t xml:space="preserve"> </w:t>
      </w:r>
      <w:r>
        <w:t xml:space="preserve">Solutions that leverage Rome’s history (e.g., using the Colosseum for Roman history lessons)</w:t>
      </w:r>
    </w:p>
    <w:p>
      <w:pPr>
        <w:numPr>
          <w:ilvl w:val="0"/>
          <w:numId w:val="1002"/>
        </w:numPr>
        <w:pStyle w:val="Compact"/>
      </w:pPr>
      <w:r>
        <w:rPr>
          <w:bCs/>
          <w:b/>
        </w:rPr>
        <w:t xml:space="preserve">Practical Efficiency:</w:t>
      </w:r>
      <w:r>
        <w:t xml:space="preserve"> </w:t>
      </w:r>
      <w:r>
        <w:t xml:space="preserve">Time-saving tools addressing Rome’s 45-hour workweek constraints</w:t>
      </w:r>
    </w:p>
    <w:p>
      <w:pPr>
        <w:numPr>
          <w:ilvl w:val="0"/>
          <w:numId w:val="1002"/>
        </w:numPr>
        <w:pStyle w:val="Compact"/>
      </w:pPr>
      <w:r>
        <w:rPr>
          <w:bCs/>
          <w:b/>
        </w:rPr>
        <w:t xml:space="preserve">Community Connection:</w:t>
      </w:r>
      <w:r>
        <w:t xml:space="preserve"> </w:t>
      </w:r>
      <w:r>
        <w:t xml:space="preserve">Opportunities to network within Rome’s teacher unions (e.g., CISL Scuola Roma)</w:t>
      </w:r>
    </w:p>
    <w:p>
      <w:pPr>
        <w:pStyle w:val="FirstParagraph"/>
      </w:pPr>
      <w:r>
        <w:t xml:space="preserve">Secondary teachers in Rome are not passive consumers—they are active agents shaping Italy’s future. "Teacher Secondary" will speak directly to their identity as *educatori romani*, blending professional growth with civic pride.</w:t>
      </w:r>
    </w:p>
    <w:bookmarkEnd w:id="22"/>
    <w:bookmarkStart w:id="26" w:name="marketing-strategy-core-pillars"/>
    <w:p>
      <w:pPr>
        <w:pStyle w:val="Heading2"/>
      </w:pPr>
      <w:r>
        <w:t xml:space="preserve">Marketing Strategy &amp; Core Pillars</w:t>
      </w:r>
    </w:p>
    <w:p>
      <w:pPr>
        <w:pStyle w:val="FirstParagraph"/>
      </w:pPr>
      <w:r>
        <w:t xml:space="preserve">We adopt a dual-pronged strategy: **Localization** and **Empowerment**, tailored exclusively for Rome’s ecosystem:</w:t>
      </w:r>
    </w:p>
    <w:bookmarkStart w:id="23" w:name="hyper-localized-content-training"/>
    <w:p>
      <w:pPr>
        <w:pStyle w:val="Heading3"/>
      </w:pPr>
      <w:r>
        <w:t xml:space="preserve">1. Hyper-Localized Content &amp; Training</w:t>
      </w:r>
    </w:p>
    <w:p>
      <w:pPr>
        <w:pStyle w:val="FirstParagraph"/>
      </w:pPr>
      <w:r>
        <w:t xml:space="preserve">All workshops, webinars, and digital resources are co-created with Rome-based educators. Examples:</w:t>
      </w:r>
    </w:p>
    <w:p>
      <w:pPr>
        <w:numPr>
          <w:ilvl w:val="0"/>
          <w:numId w:val="1003"/>
        </w:numPr>
        <w:pStyle w:val="Compact"/>
      </w:pPr>
      <w:r>
        <w:rPr>
          <w:iCs/>
          <w:i/>
        </w:rPr>
        <w:t xml:space="preserve">Rome Heritage Modules:</w:t>
      </w:r>
      <w:r>
        <w:t xml:space="preserve"> </w:t>
      </w:r>
      <w:r>
        <w:t xml:space="preserve">Courses on integrating Vatican Museums’ collections or Borghese Gallery art into STEM/Art curricula</w:t>
      </w:r>
    </w:p>
    <w:p>
      <w:pPr>
        <w:numPr>
          <w:ilvl w:val="0"/>
          <w:numId w:val="1003"/>
        </w:numPr>
        <w:pStyle w:val="Compact"/>
      </w:pPr>
      <w:r>
        <w:rPr>
          <w:iCs/>
          <w:i/>
        </w:rPr>
        <w:t xml:space="preserve">Administrative Simplification:</w:t>
      </w:r>
      <w:r>
        <w:t xml:space="preserve"> </w:t>
      </w:r>
      <w:r>
        <w:t xml:space="preserve">Guides for navigating Rome’s school district (Ufficio Scolastico Regionale) paperwork</w:t>
      </w:r>
    </w:p>
    <w:bookmarkEnd w:id="23"/>
    <w:bookmarkStart w:id="24" w:name="community-driven-engagement"/>
    <w:p>
      <w:pPr>
        <w:pStyle w:val="Heading3"/>
      </w:pPr>
      <w:r>
        <w:t xml:space="preserve">2. Community-Driven Engagement</w:t>
      </w:r>
    </w:p>
    <w:p>
      <w:pPr>
        <w:pStyle w:val="FirstParagraph"/>
      </w:pPr>
      <w:r>
        <w:t xml:space="preserve">We build Rome-centric community hubs:</w:t>
      </w:r>
    </w:p>
    <w:p>
      <w:pPr>
        <w:numPr>
          <w:ilvl w:val="0"/>
          <w:numId w:val="1004"/>
        </w:numPr>
        <w:pStyle w:val="Compact"/>
      </w:pPr>
      <w:r>
        <w:t xml:space="preserve">Monthly "Coffee &amp; Curriculum" meetups at historic locations (e.g., Café Greco in center)</w:t>
      </w:r>
    </w:p>
    <w:p>
      <w:pPr>
        <w:numPr>
          <w:ilvl w:val="0"/>
          <w:numId w:val="1004"/>
        </w:numPr>
        <w:pStyle w:val="Compact"/>
      </w:pPr>
      <w:r>
        <w:t xml:space="preserve">Collaboration with *Associazione Nazionale Insegnanti* (ANI) chapters across Rome</w:t>
      </w:r>
    </w:p>
    <w:p>
      <w:pPr>
        <w:numPr>
          <w:ilvl w:val="0"/>
          <w:numId w:val="1004"/>
        </w:numPr>
        <w:pStyle w:val="Compact"/>
      </w:pPr>
      <w:r>
        <w:t xml:space="preserve">Social media campaigns using #InsegnantiRoma, featuring teacher success stories from Roman schools</w:t>
      </w:r>
    </w:p>
    <w:bookmarkEnd w:id="24"/>
    <w:bookmarkStart w:id="25" w:name="strategic-partnerships-in-italy"/>
    <w:p>
      <w:pPr>
        <w:pStyle w:val="Heading3"/>
      </w:pPr>
      <w:r>
        <w:t xml:space="preserve">3. Strategic Partnerships in Italy</w:t>
      </w:r>
    </w:p>
    <w:p>
      <w:pPr>
        <w:pStyle w:val="FirstParagraph"/>
      </w:pPr>
      <w:r>
        <w:t xml:space="preserve">Exclusive alliances with Rome-focused entities:</w:t>
      </w:r>
    </w:p>
    <w:p>
      <w:pPr>
        <w:numPr>
          <w:ilvl w:val="0"/>
          <w:numId w:val="1005"/>
        </w:numPr>
        <w:pStyle w:val="Compact"/>
      </w:pPr>
      <w:r>
        <w:t xml:space="preserve">Rome City Council’s Education Office for subsidized training slots</w:t>
      </w:r>
    </w:p>
    <w:p>
      <w:pPr>
        <w:numPr>
          <w:ilvl w:val="0"/>
          <w:numId w:val="1005"/>
        </w:numPr>
        <w:pStyle w:val="Compact"/>
      </w:pPr>
      <w:r>
        <w:t xml:space="preserve">Villa Borghese National Museum for resource-sharing (e.g., free access to archives)</w:t>
      </w:r>
    </w:p>
    <w:p>
      <w:pPr>
        <w:numPr>
          <w:ilvl w:val="0"/>
          <w:numId w:val="1005"/>
        </w:numPr>
        <w:pStyle w:val="Compact"/>
      </w:pPr>
      <w:r>
        <w:t xml:space="preserve">Lazio Regional Education Authority (USR Lazio) to align with *Piano Nazionale Scuola Digitale*</w:t>
      </w:r>
    </w:p>
    <w:bookmarkEnd w:id="25"/>
    <w:bookmarkEnd w:id="26"/>
    <w:bookmarkStart w:id="27" w:name="X3a9e469b9d78d62eb39d0aa98dc74134c5892d1"/>
    <w:p>
      <w:pPr>
        <w:pStyle w:val="Heading2"/>
      </w:pPr>
      <w:r>
        <w:t xml:space="preserve">Tactical Implementation: Rome-Centric Timeline</w:t>
      </w:r>
    </w:p>
    <w:p>
      <w:pPr>
        <w:pStyle w:val="FirstParagraph"/>
      </w:pPr>
      <w:r>
        <w:rPr>
          <w:bCs/>
          <w:b/>
        </w:rPr>
        <w:t xml:space="preserve">Q1 2024:</w:t>
      </w:r>
      <w:r>
        <w:t xml:space="preserve"> </w:t>
      </w:r>
      <w:r>
        <w:t xml:space="preserve">Launch "Rome Teacher Ambassadors" program—recruit 50 influential secondary teachers across districts (Esquilino, Ostiense, EUR) to co-design offerings. Host free workshops at the Rome Catholic University (Università Cattolica).</w:t>
      </w:r>
    </w:p>
    <w:p>
      <w:pPr>
        <w:pStyle w:val="BodyText"/>
      </w:pPr>
      <w:r>
        <w:rPr>
          <w:bCs/>
          <w:b/>
        </w:rPr>
        <w:t xml:space="preserve">Q2 2024:</w:t>
      </w:r>
      <w:r>
        <w:t xml:space="preserve"> </w:t>
      </w:r>
      <w:r>
        <w:t xml:space="preserve">Roll out "Digital Roma" app—a bilingual platform offering:</w:t>
      </w:r>
    </w:p>
    <w:p>
      <w:pPr>
        <w:numPr>
          <w:ilvl w:val="0"/>
          <w:numId w:val="1006"/>
        </w:numPr>
        <w:pStyle w:val="Compact"/>
      </w:pPr>
      <w:r>
        <w:t xml:space="preserve">Rome-specific lesson plans (e.g., using Roman aqueducts for physics)</w:t>
      </w:r>
    </w:p>
    <w:p>
      <w:pPr>
        <w:numPr>
          <w:ilvl w:val="0"/>
          <w:numId w:val="1006"/>
        </w:numPr>
        <w:pStyle w:val="Compact"/>
      </w:pPr>
      <w:r>
        <w:t xml:space="preserve">Scheduling tools for Rome’s school holidays (e.g., summer break aligning with *Festa della Repubblica*)</w:t>
      </w:r>
    </w:p>
    <w:p>
      <w:pPr>
        <w:pStyle w:val="FirstParagraph"/>
      </w:pPr>
      <w:r>
        <w:rPr>
          <w:bCs/>
          <w:b/>
        </w:rPr>
        <w:t xml:space="preserve">Q3–Q4 2024:</w:t>
      </w:r>
      <w:r>
        <w:t xml:space="preserve"> </w:t>
      </w:r>
      <w:r>
        <w:t xml:space="preserve">Scale through "Rome Excellence Grants," partnering with Lazio businesses (e.g., Leonardo S.p.A.) to fund training for teachers in underserved areas like San Giovanni.</w:t>
      </w:r>
    </w:p>
    <w:bookmarkEnd w:id="27"/>
    <w:bookmarkStart w:id="28" w:name="budget-roi-projections"/>
    <w:p>
      <w:pPr>
        <w:pStyle w:val="Heading2"/>
      </w:pPr>
      <w:r>
        <w:t xml:space="preserve">Budget &amp; ROI Projections</w:t>
      </w:r>
    </w:p>
    <w:p>
      <w:pPr>
        <w:pStyle w:val="FirstParagraph"/>
      </w:pPr>
      <w:r>
        <w:t xml:space="preserve">Initial investment: €185,000 (focused on Rome operations). Allocation:</w:t>
      </w:r>
    </w:p>
    <w:p>
      <w:pPr>
        <w:numPr>
          <w:ilvl w:val="0"/>
          <w:numId w:val="1007"/>
        </w:numPr>
        <w:pStyle w:val="Compact"/>
      </w:pPr>
      <w:r>
        <w:t xml:space="preserve">65% Content Development (Rome-specific materials)</w:t>
      </w:r>
    </w:p>
    <w:p>
      <w:pPr>
        <w:numPr>
          <w:ilvl w:val="0"/>
          <w:numId w:val="1007"/>
        </w:numPr>
        <w:pStyle w:val="Compact"/>
      </w:pPr>
      <w:r>
        <w:t xml:space="preserve">20% Community Engagement (Venues, events in Rome)</w:t>
      </w:r>
    </w:p>
    <w:p>
      <w:pPr>
        <w:numPr>
          <w:ilvl w:val="0"/>
          <w:numId w:val="1007"/>
        </w:numPr>
        <w:pStyle w:val="Compact"/>
      </w:pPr>
      <w:r>
        <w:t xml:space="preserve">15% Digital Platform (Localized app for Italy Rome users)</w:t>
      </w:r>
    </w:p>
    <w:p>
      <w:pPr>
        <w:pStyle w:val="FirstParagraph"/>
      </w:pPr>
      <w:r>
        <w:t xml:space="preserve">ROI by 2025:</w:t>
      </w:r>
    </w:p>
    <w:p>
      <w:pPr>
        <w:numPr>
          <w:ilvl w:val="0"/>
          <w:numId w:val="1008"/>
        </w:numPr>
        <w:pStyle w:val="Compact"/>
      </w:pPr>
      <w:r>
        <w:rPr>
          <w:bCs/>
          <w:b/>
        </w:rPr>
        <w:t xml:space="preserve">40%</w:t>
      </w:r>
      <w:r>
        <w:t xml:space="preserve"> </w:t>
      </w:r>
      <w:r>
        <w:t xml:space="preserve">Increase in teacher retention at partner schools</w:t>
      </w:r>
    </w:p>
    <w:p>
      <w:pPr>
        <w:numPr>
          <w:ilvl w:val="0"/>
          <w:numId w:val="1008"/>
        </w:numPr>
        <w:pStyle w:val="Compact"/>
      </w:pPr>
      <w:r>
        <w:rPr>
          <w:bCs/>
          <w:b/>
        </w:rPr>
        <w:t xml:space="preserve">30%</w:t>
      </w:r>
      <w:r>
        <w:t xml:space="preserve"> </w:t>
      </w:r>
      <w:r>
        <w:t xml:space="preserve">Expansion to 80+ Rome schools (from pilot 25)</w:t>
      </w:r>
    </w:p>
    <w:p>
      <w:pPr>
        <w:numPr>
          <w:ilvl w:val="0"/>
          <w:numId w:val="1008"/>
        </w:numPr>
        <w:pStyle w:val="Compact"/>
      </w:pPr>
      <w:r>
        <w:rPr>
          <w:bCs/>
          <w:b/>
        </w:rPr>
        <w:t xml:space="preserve">€275,000</w:t>
      </w:r>
      <w:r>
        <w:t xml:space="preserve"> </w:t>
      </w:r>
      <w:r>
        <w:t xml:space="preserve">Revenue from subscriptions (€15/month per teacher)</w:t>
      </w:r>
    </w:p>
    <w:bookmarkEnd w:id="28"/>
    <w:bookmarkStart w:id="29" w:name="why-teacher-secondary-wins-in-italy-rome"/>
    <w:p>
      <w:pPr>
        <w:pStyle w:val="Heading2"/>
      </w:pPr>
      <w:r>
        <w:t xml:space="preserve">Why "Teacher Secondary" Wins in Italy Rome</w:t>
      </w:r>
    </w:p>
    <w:p>
      <w:pPr>
        <w:pStyle w:val="FirstParagraph"/>
      </w:pPr>
      <w:r>
        <w:t xml:space="preserve">Rome is not just a location—it’s the heart of Italy’s educational soul. "Teacher Secondary" rejects one-size-fits-all models to embrace *la vita romana* in education: teachers who mentor students amid ancient ruins, leverage local festivals for learning, and build community within Rome’s vibrant districts. Our plan merges national curriculum mandates with Roman identity—proving that professional development isn’t just about improving lessons; it’s about honoring the city that shapes them. For secondary educators across Italy, "Teacher Secondary" is the catalyst to transform Rome’s classrooms into spaces where tradition fuels innovation.</w:t>
      </w:r>
    </w:p>
    <w:bookmarkEnd w:id="29"/>
    <w:bookmarkStart w:id="30" w:name="conclusion"/>
    <w:p>
      <w:pPr>
        <w:pStyle w:val="Heading2"/>
      </w:pPr>
      <w:r>
        <w:t xml:space="preserve">Conclusion</w:t>
      </w:r>
    </w:p>
    <w:p>
      <w:pPr>
        <w:pStyle w:val="FirstParagraph"/>
      </w:pPr>
      <w:r>
        <w:t xml:space="preserve">This Marketing Plan positions "Teacher Secondary" as Rome’s essential ally in elevating secondary education—where every strategy, partnership, and tool is rooted in Italy’s capital city. By prioritizing hyper-local relevance over generic solutions, we ensure educators across Rome don’t just feel supported; they feel seen as the cultural stewards of Italy’s future. The time for a Roma-centric approach to teacher excellence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Italy Rome</dc:title>
  <dc:creator/>
  <dc:language>en</dc:language>
  <cp:keywords/>
  <dcterms:created xsi:type="dcterms:W3CDTF">2025-12-13T09:59:59Z</dcterms:created>
  <dcterms:modified xsi:type="dcterms:W3CDTF">2025-12-13T09:59:59Z</dcterms:modified>
</cp:coreProperties>
</file>

<file path=docProps/custom.xml><?xml version="1.0" encoding="utf-8"?>
<Properties xmlns="http://schemas.openxmlformats.org/officeDocument/2006/custom-properties" xmlns:vt="http://schemas.openxmlformats.org/officeDocument/2006/docPropsVTypes"/>
</file>