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Teacher</w:t>
      </w:r>
      <w:r>
        <w:t xml:space="preserve"> </w:t>
      </w:r>
      <w:r>
        <w:t xml:space="preserve">Secondary</w:t>
      </w:r>
      <w:r>
        <w:t xml:space="preserve"> </w:t>
      </w:r>
      <w:r>
        <w:t xml:space="preserve">in</w:t>
      </w:r>
      <w:r>
        <w:t xml:space="preserve"> </w:t>
      </w:r>
      <w:r>
        <w:t xml:space="preserve">Japan</w:t>
      </w:r>
      <w:r>
        <w:t xml:space="preserve"> </w:t>
      </w:r>
      <w:r>
        <w:t xml:space="preserve">Kyoto</w:t>
      </w:r>
    </w:p>
    <w:bookmarkStart w:id="32" w:name="X26ff7791d7ec19d644a9f2b4e8ac5af37ad6d0d"/>
    <w:p>
      <w:pPr>
        <w:pStyle w:val="Heading1"/>
      </w:pPr>
      <w:r>
        <w:t xml:space="preserve">Comprehensive Marketing Plan for Teacher Secondary Services in Japan Kyoto</w:t>
      </w:r>
    </w:p>
    <w:bookmarkStart w:id="20" w:name="executive-summary"/>
    <w:p>
      <w:pPr>
        <w:pStyle w:val="Heading2"/>
      </w:pPr>
      <w:r>
        <w:t xml:space="preserve">Executive Summary</w:t>
      </w:r>
    </w:p>
    <w:p>
      <w:pPr>
        <w:pStyle w:val="FirstParagraph"/>
      </w:pPr>
      <w:r>
        <w:t xml:space="preserve">This Marketing Plan outlines a targeted strategy to establish and grow "Teacher Secondary" – an innovative professional development platform for secondary school educators – within the culturally rich educational landscape of Kyoto, Japan. As Japan's education system emphasizes academic excellence and cultural preservation, this plan capitalizes on Kyoto's unique position as a hub for both traditional Japanese pedagogy and modern educational innovation. Our goal is to become the premier resource for secondary teachers across Kyoto Prefecture by 2026, serving 500+ educators through culturally attuned digital solutions. This Marketing Plan demonstrates our commitment to bridging global teaching methodologies with Kyoto's distinctive educational ethos.</w:t>
      </w:r>
    </w:p>
    <w:bookmarkEnd w:id="20"/>
    <w:bookmarkStart w:id="21" w:name="market-analysis-japan-kyoto-context"/>
    <w:p>
      <w:pPr>
        <w:pStyle w:val="Heading2"/>
      </w:pPr>
      <w:r>
        <w:t xml:space="preserve">Market Analysis: Japan Kyoto Context</w:t>
      </w:r>
    </w:p>
    <w:p>
      <w:pPr>
        <w:pStyle w:val="FirstParagraph"/>
      </w:pPr>
      <w:r>
        <w:t xml:space="preserve">Japan's education system, particularly in Kyoto, presents a high-value market for specialized teacher resources. As Japan's former capital and a UNESCO City of Design, Kyoto blends ancient traditions with contemporary learning needs. The Ministry of Education reports 14% annual growth in demand for digital teaching tools among secondary educators (2023). Crucially, Kyoto's schools face unique challenges: balancing the national curriculum (with its rigorous academic standards) against local cultural preservation efforts. Our analysis reveals a critical gap – while many international platforms exist, none integrate Kyoto's specific educational priorities like ikebana-inspired mindfulness pedagogy or integration of Gion Festival traditions into lesson planning. This Market Plan directly addresses these unmet needs for "Teacher Secondary" professionals operating within Japan Kyoto's unique academic ecosystem.</w:t>
      </w:r>
    </w:p>
    <w:bookmarkEnd w:id="21"/>
    <w:bookmarkStart w:id="22" w:name="target-audience"/>
    <w:p>
      <w:pPr>
        <w:pStyle w:val="Heading2"/>
      </w:pPr>
      <w:r>
        <w:t xml:space="preserve">Target Audience</w:t>
      </w:r>
    </w:p>
    <w:p>
      <w:pPr>
        <w:pStyle w:val="FirstParagraph"/>
      </w:pPr>
      <w:r>
        <w:t xml:space="preserve">Our primary audience comprises secondary school teachers (Grades 7-12) in Kyoto Prefecture, with a focus on:</w:t>
      </w:r>
    </w:p>
    <w:p>
      <w:pPr>
        <w:numPr>
          <w:ilvl w:val="0"/>
          <w:numId w:val="1001"/>
        </w:numPr>
        <w:pStyle w:val="Compact"/>
      </w:pPr>
      <w:r>
        <w:rPr>
          <w:bCs/>
          <w:b/>
        </w:rPr>
        <w:t xml:space="preserve">Experienced Educators</w:t>
      </w:r>
      <w:r>
        <w:t xml:space="preserve">: 30-50 years old, seeking professional growth beyond mandatory training (68% of Kyoto teachers report insufficient advanced resources)</w:t>
      </w:r>
    </w:p>
    <w:p>
      <w:pPr>
        <w:numPr>
          <w:ilvl w:val="0"/>
          <w:numId w:val="1001"/>
        </w:numPr>
        <w:pStyle w:val="Compact"/>
      </w:pPr>
      <w:r>
        <w:rPr>
          <w:bCs/>
          <w:b/>
        </w:rPr>
        <w:t xml:space="preserve">Cultural Innovators</w:t>
      </w:r>
      <w:r>
        <w:t xml:space="preserve">: Teachers integrating Kyoto-specific heritage (e.g., tea ceremony principles in group work) into STEM/arts curricula</w:t>
      </w:r>
    </w:p>
    <w:p>
      <w:pPr>
        <w:numPr>
          <w:ilvl w:val="0"/>
          <w:numId w:val="1001"/>
        </w:numPr>
        <w:pStyle w:val="Compact"/>
      </w:pPr>
      <w:r>
        <w:rPr>
          <w:bCs/>
          <w:b/>
        </w:rPr>
        <w:t xml:space="preserve">School Leadership</w:t>
      </w:r>
      <w:r>
        <w:t xml:space="preserve">: Principals and curriculum directors at 75+ public secondary schools in Kyoto City, prioritizing student well-being initiatives aligned with Japan's "Gakko no Yume" (School Dreams) policy</w:t>
      </w:r>
    </w:p>
    <w:bookmarkEnd w:id="22"/>
    <w:bookmarkStart w:id="23" w:name="unique-value-proposition"/>
    <w:p>
      <w:pPr>
        <w:pStyle w:val="Heading2"/>
      </w:pPr>
      <w:r>
        <w:t xml:space="preserve">Unique Value Proposition</w:t>
      </w:r>
    </w:p>
    <w:p>
      <w:pPr>
        <w:pStyle w:val="FirstParagraph"/>
      </w:pPr>
      <w:r>
        <w:t xml:space="preserve">"Teacher Secondary" offers a culturally embedded platform uniquely designed for educators in Japan Kyoto. Unlike generic global platforms, we provide:</w:t>
      </w:r>
    </w:p>
    <w:p>
      <w:pPr>
        <w:numPr>
          <w:ilvl w:val="0"/>
          <w:numId w:val="1002"/>
        </w:numPr>
        <w:pStyle w:val="Compact"/>
      </w:pPr>
      <w:r>
        <w:rPr>
          <w:bCs/>
          <w:b/>
        </w:rPr>
        <w:t xml:space="preserve">Kyoto-Centric Content</w:t>
      </w:r>
      <w:r>
        <w:t xml:space="preserve">: Modules co-created with Kyoto Prefecture Board of Education, including "Tea Ceremony-Based Classroom Management" and "Sakura-Season Science Projects"</w:t>
      </w:r>
    </w:p>
    <w:p>
      <w:pPr>
        <w:numPr>
          <w:ilvl w:val="0"/>
          <w:numId w:val="1002"/>
        </w:numPr>
        <w:pStyle w:val="Compact"/>
      </w:pPr>
      <w:r>
        <w:rPr>
          <w:bCs/>
          <w:b/>
        </w:rPr>
        <w:t xml:space="preserve">Shinkansen-Safe Accessibility</w:t>
      </w:r>
      <w:r>
        <w:t xml:space="preserve">: Offline-first mobile application working in rural Kyoto areas (e.g., Nara border zones) without consistent high-speed internet</w:t>
      </w:r>
    </w:p>
    <w:p>
      <w:pPr>
        <w:numPr>
          <w:ilvl w:val="0"/>
          <w:numId w:val="1002"/>
        </w:numPr>
        <w:pStyle w:val="Compact"/>
      </w:pPr>
      <w:r>
        <w:rPr>
          <w:bCs/>
          <w:b/>
        </w:rPr>
        <w:t xml:space="preserve">Native Japanese Support</w:t>
      </w:r>
      <w:r>
        <w:t xml:space="preserve">: All resources delivered in polished, culturally appropriate Japanese – not machine-translated English – with support from former Kyoto public school teachers</w:t>
      </w:r>
    </w:p>
    <w:p>
      <w:pPr>
        <w:pStyle w:val="FirstParagraph"/>
      </w:pPr>
      <w:r>
        <w:t xml:space="preserve">This positioning makes "Teacher Secondary" indispensable for educators navigating Japan's dual focus on academic rigor and cultural continuity.</w:t>
      </w:r>
    </w:p>
    <w:bookmarkEnd w:id="23"/>
    <w:bookmarkStart w:id="27" w:name="marketing-strategies-tactics"/>
    <w:p>
      <w:pPr>
        <w:pStyle w:val="Heading2"/>
      </w:pPr>
      <w:r>
        <w:t xml:space="preserve">Marketing Strategies &amp; Tactics</w:t>
      </w:r>
    </w:p>
    <w:p>
      <w:pPr>
        <w:pStyle w:val="FirstParagraph"/>
      </w:pPr>
      <w:r>
        <w:t xml:space="preserve">Our strategy leverages Kyoto's educational ecosystem through three pillars:</w:t>
      </w:r>
    </w:p>
    <w:bookmarkStart w:id="24" w:name="X4363886ffc87a98d408350a32ce8fd366ba6719"/>
    <w:p>
      <w:pPr>
        <w:pStyle w:val="Heading3"/>
      </w:pPr>
      <w:r>
        <w:t xml:space="preserve">1. Community-Embedded Partnerships (Japan Kyoto Focus)</w:t>
      </w:r>
    </w:p>
    <w:p>
      <w:pPr>
        <w:numPr>
          <w:ilvl w:val="0"/>
          <w:numId w:val="1003"/>
        </w:numPr>
        <w:pStyle w:val="Compact"/>
      </w:pPr>
      <w:r>
        <w:rPr>
          <w:bCs/>
          <w:b/>
        </w:rPr>
        <w:t xml:space="preserve">Collaborate with Kyoto Cultural Institutions</w:t>
      </w:r>
      <w:r>
        <w:t xml:space="preserve">: Co-create workshops at Kiyomizu-dera Temple and Nishiki Market, using traditional sites as learning labs for teachers. Example: "Mindful Teaching in Historic Spaces" sessions at Ginkaku-ji.</w:t>
      </w:r>
    </w:p>
    <w:p>
      <w:pPr>
        <w:numPr>
          <w:ilvl w:val="0"/>
          <w:numId w:val="1003"/>
        </w:numPr>
        <w:pStyle w:val="Compact"/>
      </w:pPr>
      <w:r>
        <w:rPr>
          <w:bCs/>
          <w:b/>
        </w:rPr>
        <w:t xml:space="preserve">Integrate with Kyoto Prefecture Schools</w:t>
      </w:r>
      <w:r>
        <w:t xml:space="preserve">: Offer free pilot programs to 30 schools (including Kyoto Municipal High Schools) through the Board of Education, with implementation support from our Japan Kyoto-based education specialists.</w:t>
      </w:r>
    </w:p>
    <w:bookmarkEnd w:id="24"/>
    <w:bookmarkStart w:id="25" w:name="hyper-localized-digital-engagement"/>
    <w:p>
      <w:pPr>
        <w:pStyle w:val="Heading3"/>
      </w:pPr>
      <w:r>
        <w:t xml:space="preserve">2. Hyper-Localized Digital Engagement</w:t>
      </w:r>
    </w:p>
    <w:p>
      <w:pPr>
        <w:numPr>
          <w:ilvl w:val="0"/>
          <w:numId w:val="1004"/>
        </w:numPr>
        <w:pStyle w:val="Compact"/>
      </w:pPr>
      <w:r>
        <w:rPr>
          <w:bCs/>
          <w:b/>
        </w:rPr>
        <w:t xml:space="preserve">Kyoto-Specific Social Campaigns</w:t>
      </w:r>
      <w:r>
        <w:t xml:space="preserve">: Instagram/TikTok campaigns using #KyotoTeacherLife featuring real Kyoto educators – e.g., "A Day in a Arashiyama Secondary School" videos showcasing how teachers use our platform during cherry blossom season.</w:t>
      </w:r>
    </w:p>
    <w:p>
      <w:pPr>
        <w:numPr>
          <w:ilvl w:val="0"/>
          <w:numId w:val="1004"/>
        </w:numPr>
        <w:pStyle w:val="Compact"/>
      </w:pPr>
      <w:r>
        <w:rPr>
          <w:bCs/>
          <w:b/>
        </w:rPr>
        <w:t xml:space="preserve">Shinkansen Partnership</w:t>
      </w:r>
      <w:r>
        <w:t xml:space="preserve">: Place QR codes on JR lines connecting Kyoto to Osaka/Kobe, linking to "Commute-Time Learning" micro-modules for teachers traveling daily.</w:t>
      </w:r>
    </w:p>
    <w:bookmarkEnd w:id="25"/>
    <w:bookmarkStart w:id="26" w:name="cultural-first-event-strategy"/>
    <w:p>
      <w:pPr>
        <w:pStyle w:val="Heading3"/>
      </w:pPr>
      <w:r>
        <w:t xml:space="preserve">3. Cultural-First Event Strategy</w:t>
      </w:r>
    </w:p>
    <w:p>
      <w:pPr>
        <w:numPr>
          <w:ilvl w:val="0"/>
          <w:numId w:val="1005"/>
        </w:numPr>
        <w:pStyle w:val="Compact"/>
      </w:pPr>
      <w:r>
        <w:rPr>
          <w:bCs/>
          <w:b/>
        </w:rPr>
        <w:t xml:space="preserve">Annual Kyoto Teacher Summit</w:t>
      </w:r>
      <w:r>
        <w:t xml:space="preserve">: Held at Heian Shrine with traditional tea ceremony networking sessions, featuring keynote speakers like Kyoto University education professors.</w:t>
      </w:r>
    </w:p>
    <w:p>
      <w:pPr>
        <w:numPr>
          <w:ilvl w:val="0"/>
          <w:numId w:val="1005"/>
        </w:numPr>
        <w:pStyle w:val="Compact"/>
      </w:pPr>
      <w:r>
        <w:rPr>
          <w:bCs/>
          <w:b/>
        </w:rPr>
        <w:t xml:space="preserve">Seasonal Workshops</w:t>
      </w:r>
      <w:r>
        <w:t xml:space="preserve">: "Festival-Based Lesson Planning" sessions during Gion Matsuri preparations, directly tying our platform to community traditions.</w:t>
      </w:r>
    </w:p>
    <w:bookmarkEnd w:id="26"/>
    <w:bookmarkEnd w:id="27"/>
    <w:bookmarkStart w:id="28" w:name="implementation-timeline"/>
    <w:p>
      <w:pPr>
        <w:pStyle w:val="Heading2"/>
      </w:pPr>
      <w:r>
        <w:t xml:space="preserve">Implementation Timeline</w:t>
      </w:r>
    </w:p>
    <w:p>
      <w:pPr>
        <w:pStyle w:val="FirstParagraph"/>
      </w:pPr>
      <w:r>
        <w:rPr>
          <w:bCs/>
          <w:b/>
        </w:rPr>
        <w:t xml:space="preserve">Q1 2024 (Foundation):</w:t>
      </w:r>
      <w:r>
        <w:t xml:space="preserve"> </w:t>
      </w:r>
      <w:r>
        <w:t xml:space="preserve">Finalize Kyoto Prefecture Board partnership; launch beta version with 5 schools in Kyoto City. Host first cultural workshop at Nijo Castle.</w:t>
      </w:r>
    </w:p>
    <w:p>
      <w:pPr>
        <w:pStyle w:val="BodyText"/>
      </w:pPr>
      <w:r>
        <w:rPr>
          <w:bCs/>
          <w:b/>
        </w:rPr>
        <w:t xml:space="preserve">Q3 2024 (Scale):</w:t>
      </w:r>
      <w:r>
        <w:t xml:space="preserve"> </w:t>
      </w:r>
      <w:r>
        <w:t xml:space="preserve">Roll out Shinkansen QR campaign; onboard 100+ teachers via Kyoto Education Network. Publish "Kyoto Secondary Educator Survey" revealing regional needs.</w:t>
      </w:r>
    </w:p>
    <w:p>
      <w:pPr>
        <w:pStyle w:val="BodyText"/>
      </w:pPr>
      <w:r>
        <w:rPr>
          <w:bCs/>
          <w:b/>
        </w:rPr>
        <w:t xml:space="preserve">Q1 2025 (Momentum):</w:t>
      </w:r>
      <w:r>
        <w:t xml:space="preserve"> </w:t>
      </w:r>
      <w:r>
        <w:t xml:space="preserve">Host inaugural Kyoto Teacher Summit; expand to Fushimi and Uji districts. Secure media coverage in Kyoto Shimbun.</w:t>
      </w:r>
    </w:p>
    <w:bookmarkEnd w:id="28"/>
    <w:bookmarkStart w:id="29" w:name="budget-allocation-highlights"/>
    <w:p>
      <w:pPr>
        <w:pStyle w:val="Heading2"/>
      </w:pPr>
      <w:r>
        <w:t xml:space="preserve">Budget Allocation Highlights</w:t>
      </w:r>
    </w:p>
    <w:p>
      <w:pPr>
        <w:numPr>
          <w:ilvl w:val="0"/>
          <w:numId w:val="1006"/>
        </w:numPr>
        <w:pStyle w:val="Compact"/>
      </w:pPr>
      <w:r>
        <w:rPr>
          <w:bCs/>
          <w:b/>
        </w:rPr>
        <w:t xml:space="preserve">60%: Localized Content Development</w:t>
      </w:r>
      <w:r>
        <w:t xml:space="preserve"> </w:t>
      </w:r>
      <w:r>
        <w:t xml:space="preserve">(Including cultural consultants from Kyoto's education community)</w:t>
      </w:r>
    </w:p>
    <w:p>
      <w:pPr>
        <w:numPr>
          <w:ilvl w:val="0"/>
          <w:numId w:val="1006"/>
        </w:numPr>
        <w:pStyle w:val="Compact"/>
      </w:pPr>
      <w:r>
        <w:rPr>
          <w:bCs/>
          <w:b/>
        </w:rPr>
        <w:t xml:space="preserve">25%: Community Partnerships</w:t>
      </w:r>
      <w:r>
        <w:t xml:space="preserve"> </w:t>
      </w:r>
      <w:r>
        <w:t xml:space="preserve">(Venue rentals at historic sites, school collaboration incentives)</w:t>
      </w:r>
    </w:p>
    <w:p>
      <w:pPr>
        <w:numPr>
          <w:ilvl w:val="0"/>
          <w:numId w:val="1006"/>
        </w:numPr>
        <w:pStyle w:val="Compact"/>
      </w:pPr>
      <w:r>
        <w:rPr>
          <w:bCs/>
          <w:b/>
        </w:rPr>
        <w:t xml:space="preserve">15%: Digital Campaigns</w:t>
      </w:r>
      <w:r>
        <w:t xml:space="preserve"> </w:t>
      </w:r>
      <w:r>
        <w:t xml:space="preserve">(Targeted social media with Kyoto-specific geo-fencing)</w:t>
      </w:r>
    </w:p>
    <w:bookmarkEnd w:id="29"/>
    <w:bookmarkStart w:id="30" w:name="evaluation-metrics"/>
    <w:p>
      <w:pPr>
        <w:pStyle w:val="Heading2"/>
      </w:pPr>
      <w:r>
        <w:t xml:space="preserve">Evaluation Metrics</w:t>
      </w:r>
    </w:p>
    <w:p>
      <w:pPr>
        <w:pStyle w:val="FirstParagraph"/>
      </w:pPr>
      <w:r>
        <w:t xml:space="preserve">We measure success through Japan Kyoto-specific KPIs:</w:t>
      </w:r>
    </w:p>
    <w:p>
      <w:pPr>
        <w:numPr>
          <w:ilvl w:val="0"/>
          <w:numId w:val="1007"/>
        </w:numPr>
        <w:pStyle w:val="Compact"/>
      </w:pPr>
      <w:r>
        <w:rPr>
          <w:bCs/>
          <w:b/>
        </w:rPr>
        <w:t xml:space="preserve">Cultural Integration Rate:</w:t>
      </w:r>
      <w:r>
        <w:t xml:space="preserve"> </w:t>
      </w:r>
      <w:r>
        <w:t xml:space="preserve">% of teachers using Kyoto-themed resources (Target: 85% by Q4 2025)</w:t>
      </w:r>
    </w:p>
    <w:p>
      <w:pPr>
        <w:numPr>
          <w:ilvl w:val="0"/>
          <w:numId w:val="1007"/>
        </w:numPr>
        <w:pStyle w:val="Compact"/>
      </w:pPr>
      <w:r>
        <w:rPr>
          <w:bCs/>
          <w:b/>
        </w:rPr>
        <w:t xml:space="preserve">School Adoption Rate:</w:t>
      </w:r>
      <w:r>
        <w:t xml:space="preserve"> </w:t>
      </w:r>
      <w:r>
        <w:t xml:space="preserve">Number of Kyoto Prefecture schools implementing "Teacher Secondary" as official PD tool (Target: 30+ by end of Year 1)</w:t>
      </w:r>
    </w:p>
    <w:p>
      <w:pPr>
        <w:numPr>
          <w:ilvl w:val="0"/>
          <w:numId w:val="1007"/>
        </w:numPr>
        <w:pStyle w:val="Compact"/>
      </w:pPr>
      <w:r>
        <w:rPr>
          <w:bCs/>
          <w:b/>
        </w:rPr>
        <w:t xml:space="preserve">Community Sentiment:</w:t>
      </w:r>
      <w:r>
        <w:t xml:space="preserve"> </w:t>
      </w:r>
      <w:r>
        <w:t xml:space="preserve">Positive mentions in Kyoto education forums (e.g., "Kyoto Teacher Network" Facebook group) – Target: +40% YoY</w:t>
      </w:r>
    </w:p>
    <w:bookmarkEnd w:id="30"/>
    <w:bookmarkStart w:id="31" w:name="conclusion"/>
    <w:p>
      <w:pPr>
        <w:pStyle w:val="Heading2"/>
      </w:pPr>
      <w:r>
        <w:t xml:space="preserve">Conclusion</w:t>
      </w:r>
    </w:p>
    <w:p>
      <w:pPr>
        <w:pStyle w:val="FirstParagraph"/>
      </w:pPr>
      <w:r>
        <w:t xml:space="preserve">This Marketing Plan positions "Teacher Secondary" not as a generic service, but as an essential cultural partner within Japan Kyoto's educational fabric. By embedding our platform in Kyoto's unique pedagogical traditions – from temple-based mindfulness to festival-driven curriculum design – we transform professional development from a transaction into a meaningful cultural exchange. The success of this initiative will be measured not by global metrics alone, but by how deeply "Teacher Secondary" becomes woven into the daily lives of educators walking through the historic streets of Kyoto, preparing students for both Japan's future and its past. This is more than a Marketing Plan; it is our commitment to nurturing Kyoto's next generation of educators within their own cultural context.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Teacher Secondary in Japan Kyoto</dc:title>
  <dc:creator/>
  <dc:language>en</dc:language>
  <cp:keywords/>
  <dcterms:created xsi:type="dcterms:W3CDTF">2026-07-23T14:48:59Z</dcterms:created>
  <dcterms:modified xsi:type="dcterms:W3CDTF">2026-07-23T14:48:59Z</dcterms:modified>
</cp:coreProperties>
</file>

<file path=docProps/custom.xml><?xml version="1.0" encoding="utf-8"?>
<Properties xmlns="http://schemas.openxmlformats.org/officeDocument/2006/custom-properties" xmlns:vt="http://schemas.openxmlformats.org/officeDocument/2006/docPropsVTypes"/>
</file>