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Osaka</w:t>
      </w:r>
    </w:p>
    <w:bookmarkStart w:id="29" w:name="Xe70b4bdd818b41f57912b78c8b552cf3f392112"/>
    <w:p>
      <w:pPr>
        <w:pStyle w:val="Heading1"/>
      </w:pPr>
      <w:r>
        <w:t xml:space="preserve">Comprehensive Marketing Plan for Teacher Secondary Services in Japan Osaka</w:t>
      </w:r>
    </w:p>
    <w:bookmarkStart w:id="20" w:name="executive-summary"/>
    <w:p>
      <w:pPr>
        <w:pStyle w:val="Heading2"/>
      </w:pPr>
      <w:r>
        <w:t xml:space="preserve">Executive Summary</w:t>
      </w:r>
    </w:p>
    <w:p>
      <w:pPr>
        <w:pStyle w:val="FirstParagraph"/>
      </w:pPr>
      <w:r>
        <w:t xml:space="preserve">This Marketing Plan outlines strategic initiatives to establish "Teacher Secondary" as the premier professional development and resource platform for secondary school educators across Osaka, Japan. Targeting 5,000+ teachers within 18 months, this plan leverages Osaka's unique educational ecosystem to address critical challenges in secondary education through culturally tailored solutions. With Japan's Ministry of Education prioritizing teacher support initiatives under the "Future School" policy, Teacher Secondary positions itself as the indispensable partner for educators navigating evolving curricula and classroom demands in Osaka's competitive academic landscape.</w:t>
      </w:r>
    </w:p>
    <w:bookmarkEnd w:id="20"/>
    <w:bookmarkStart w:id="21" w:name="X15db46ea38206be74787e6d3ff7a19fb99a09d8"/>
    <w:p>
      <w:pPr>
        <w:pStyle w:val="Heading2"/>
      </w:pPr>
      <w:r>
        <w:t xml:space="preserve">Situation Analysis: Osaka Educational Context</w:t>
      </w:r>
    </w:p>
    <w:p>
      <w:pPr>
        <w:pStyle w:val="FirstParagraph"/>
      </w:pPr>
      <w:r>
        <w:t xml:space="preserve">Osaka's secondary education sector faces unprecedented transformation. With 386 public and private secondary schools serving over 300,000 students, teachers grapple with compressed curricula under Japan's new "Learning for All" framework, rising mental health challenges (72% of Osaka educators report burnout per 2023 JTEA survey), and demands for digital literacy integration. The Osaka Prefectural Board of Education recently allocated ¥5.8 billion for teacher support programs, yet existing solutions lack localization. Competitor offerings like "EduSupport Japan" fail to address Osaka-specific needs—such as Kansai dialect pedagogy or regional exam patterns—leaving a $12M annual gap in the market. Teacher Secondary will fill this void by embedding Osaka-centric case studies and partnerships with Osaka's 37 education centers.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Classroom Teachers (65%):</w:t>
      </w:r>
      <w:r>
        <w:t xml:space="preserve"> </w:t>
      </w:r>
      <w:r>
        <w:t xml:space="preserve">Grades 7-12 educators in Osaka public schools seeking curriculum-aligned resources addressing Japan's national exam reforms, particularly in STEM and English. Priority focus: Osaka Prefecture's mandatory "Global Communication" course expansion.</w:t>
      </w:r>
    </w:p>
    <w:p>
      <w:pPr>
        <w:numPr>
          <w:ilvl w:val="0"/>
          <w:numId w:val="1001"/>
        </w:numPr>
        <w:pStyle w:val="Compact"/>
      </w:pPr>
      <w:r>
        <w:rPr>
          <w:bCs/>
          <w:b/>
        </w:rPr>
        <w:t xml:space="preserve">School Administrators (28%):</w:t>
      </w:r>
      <w:r>
        <w:t xml:space="preserve"> </w:t>
      </w:r>
      <w:r>
        <w:t xml:space="preserve">Principals and curriculum directors at 150+ Osaka institutions requiring evidence-based professional development to meet MEXT's 2025 teacher competency benchmarks.</w:t>
      </w:r>
    </w:p>
    <w:p>
      <w:pPr>
        <w:numPr>
          <w:ilvl w:val="0"/>
          <w:numId w:val="1001"/>
        </w:numPr>
        <w:pStyle w:val="Compact"/>
      </w:pPr>
      <w:r>
        <w:rPr>
          <w:bCs/>
          <w:b/>
        </w:rPr>
        <w:t xml:space="preserve">Regional Education Bureaus (7%):</w:t>
      </w:r>
      <w:r>
        <w:t xml:space="preserve"> </w:t>
      </w:r>
      <w:r>
        <w:t xml:space="preserve">Osaka Board of Education officials managing district-wide teacher training initiatives.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penetration among Osaka secondary teachers via free tier adoption within 12 months</w:t>
      </w:r>
    </w:p>
    <w:p>
      <w:pPr>
        <w:numPr>
          <w:ilvl w:val="0"/>
          <w:numId w:val="1002"/>
        </w:numPr>
        <w:pStyle w:val="Compact"/>
      </w:pPr>
      <w:r>
        <w:t xml:space="preserve">Secure contracts with 45 Osaka public school districts for institutional licensing by Year 2</w:t>
      </w:r>
    </w:p>
    <w:p>
      <w:pPr>
        <w:numPr>
          <w:ilvl w:val="0"/>
          <w:numId w:val="1002"/>
        </w:numPr>
        <w:pStyle w:val="Compact"/>
      </w:pPr>
      <w:r>
        <w:t xml:space="preserve">Attain 90% positive brand association through "Osaka Education Trust" certification by MEXT</w:t>
      </w:r>
    </w:p>
    <w:p>
      <w:pPr>
        <w:numPr>
          <w:ilvl w:val="0"/>
          <w:numId w:val="1002"/>
        </w:numPr>
        <w:pStyle w:val="Compact"/>
      </w:pPr>
      <w:r>
        <w:t xml:space="preserve">Generate ¥87M in annual recurring revenue from premium subscriptions (target: 1,200 paying institutions)</w:t>
      </w:r>
    </w:p>
    <w:bookmarkEnd w:id="23"/>
    <w:bookmarkStart w:id="24"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Teacher Secondary's unique value lies in Osaka-specific adaptation. All content incorporates Kansai cultural context—e.g., "Osaka-Style Classroom Management" modules using local humor examples, and resources aligned with Osaka's annual "Takarazuka Arts Festival" teaching opportunities.</w:t>
      </w:r>
    </w:p>
    <w:p>
      <w:pPr>
        <w:pStyle w:val="BodyText"/>
      </w:pPr>
      <w:r>
        <w:rPr>
          <w:bCs/>
          <w:b/>
        </w:rPr>
        <w:t xml:space="preserve">Channel Strategy:</w:t>
      </w:r>
    </w:p>
    <w:p>
      <w:pPr>
        <w:numPr>
          <w:ilvl w:val="0"/>
          <w:numId w:val="1003"/>
        </w:numPr>
        <w:pStyle w:val="Compact"/>
      </w:pPr>
      <w:r>
        <w:rPr>
          <w:iCs/>
          <w:i/>
        </w:rPr>
        <w:t xml:space="preserve">Hyperlocal Partnerships:</w:t>
      </w:r>
      <w:r>
        <w:t xml:space="preserve"> </w:t>
      </w:r>
      <w:r>
        <w:t xml:space="preserve">Collaborate with Osaka Education Center (OEC) for co-branded workshops at 12 Osaka district offices. Feature renowned Osaka educators like Professor Kenji Sato (Osaka University) as content creators.</w:t>
      </w:r>
    </w:p>
    <w:p>
      <w:pPr>
        <w:numPr>
          <w:ilvl w:val="0"/>
          <w:numId w:val="1003"/>
        </w:numPr>
        <w:pStyle w:val="Compact"/>
      </w:pPr>
      <w:r>
        <w:rPr>
          <w:iCs/>
          <w:i/>
        </w:rPr>
        <w:t xml:space="preserve">Digital Precision Targeting:</w:t>
      </w:r>
      <w:r>
        <w:t xml:space="preserve"> </w:t>
      </w:r>
      <w:r>
        <w:t xml:space="preserve">Leverage Line Business and Facebook Japan's teacher-specific targeting to reach Osaka-based educators with region-coded ads (e.g., "30% off for teachers in Namba District").</w:t>
      </w:r>
    </w:p>
    <w:p>
      <w:pPr>
        <w:numPr>
          <w:ilvl w:val="0"/>
          <w:numId w:val="1003"/>
        </w:numPr>
        <w:pStyle w:val="Compact"/>
      </w:pPr>
      <w:r>
        <w:rPr>
          <w:iCs/>
          <w:i/>
        </w:rPr>
        <w:t xml:space="preserve">Community Activation:</w:t>
      </w:r>
      <w:r>
        <w:t xml:space="preserve"> </w:t>
      </w:r>
      <w:r>
        <w:t xml:space="preserve">Host quarterly "Osaka Teacher Roundtables" at iconic venues like Kuromon Market (with free matcha snacks) to foster organic network growth.</w:t>
      </w:r>
    </w:p>
    <w:p>
      <w:pPr>
        <w:pStyle w:val="FirstParagraph"/>
      </w:pPr>
      <w:r>
        <w:rPr>
          <w:bCs/>
          <w:b/>
        </w:rPr>
        <w:t xml:space="preserve">Pricing Strategy:</w:t>
      </w:r>
      <w:r>
        <w:t xml:space="preserve"> </w:t>
      </w:r>
      <w:r>
        <w:t xml:space="preserve">Tiered model with Osaka-specific incentives:</w:t>
      </w:r>
    </w:p>
    <w:p>
      <w:pPr>
        <w:numPr>
          <w:ilvl w:val="0"/>
          <w:numId w:val="1004"/>
        </w:numPr>
        <w:pStyle w:val="Compact"/>
      </w:pPr>
      <w:r>
        <w:t xml:space="preserve">Free Tier: 5 Osaka curriculum-aligned templates/month</w:t>
      </w:r>
    </w:p>
    <w:p>
      <w:pPr>
        <w:numPr>
          <w:ilvl w:val="0"/>
          <w:numId w:val="1004"/>
        </w:numPr>
        <w:pStyle w:val="Compact"/>
      </w:pPr>
      <w:r>
        <w:t xml:space="preserve">Premium (¥1,200/user/month): Includes Osaka exam pattern analysis + MEXT certification prep</w:t>
      </w:r>
    </w:p>
    <w:p>
      <w:pPr>
        <w:numPr>
          <w:ilvl w:val="0"/>
          <w:numId w:val="1004"/>
        </w:numPr>
        <w:pStyle w:val="Compact"/>
      </w:pPr>
      <w:r>
        <w:t xml:space="preserve">Institutional (¥85,000/school/year): Full platform access + dedicated Osaka support team</w:t>
      </w:r>
    </w:p>
    <w:bookmarkEnd w:id="24"/>
    <w:bookmarkStart w:id="25" w:name="X02b343da3508b3a5c227173585c85e223d921e0"/>
    <w:p>
      <w:pPr>
        <w:pStyle w:val="Heading2"/>
      </w:pPr>
      <w:r>
        <w:t xml:space="preserve">Implementation Timeline: Osaka Launch Phases</w:t>
      </w:r>
    </w:p>
    <w:p>
      <w:pPr>
        <w:pStyle w:val="FirstParagraph"/>
      </w:pPr>
      <w:r>
        <w:t xml:space="preserve">Quarter</w:t>
      </w:r>
    </w:p>
    <w:p>
      <w:pPr>
        <w:pStyle w:val="BodyText"/>
      </w:pPr>
      <w:r>
        <w:t xml:space="preserve">Key Activities</w:t>
      </w:r>
    </w:p>
    <w:p>
      <w:pPr>
        <w:pStyle w:val="BodyText"/>
      </w:pPr>
      <w:r>
        <w:t xml:space="preserve">KPIs for Japan Osaka Focus</w:t>
      </w:r>
    </w:p>
    <w:p>
      <w:pPr>
        <w:pStyle w:val="BodyText"/>
      </w:pPr>
      <w:r>
        <w:t xml:space="preserve">Q1 2024</w:t>
      </w:r>
    </w:p>
    <w:p>
      <w:pPr>
        <w:pStyle w:val="BodyText"/>
      </w:pPr>
      <w:r>
        <w:t xml:space="preserve">Partner with Osaka Education Center; Localize content with Kansai dialect examples; Launch Line bot for Osaka teachers</w:t>
      </w:r>
    </w:p>
    <w:p>
      <w:pPr>
        <w:pStyle w:val="BodyText"/>
      </w:pPr>
      <w:r>
        <w:t xml:space="preserve">500 Osaka teachers enrolled; 85% content relevance rating</w:t>
      </w:r>
    </w:p>
    <w:p>
      <w:pPr>
        <w:pStyle w:val="BodyText"/>
      </w:pPr>
      <w:r>
        <w:t xml:space="preserve">Q3 2024</w:t>
      </w:r>
    </w:p>
    <w:p>
      <w:pPr>
        <w:pStyle w:val="BodyText"/>
      </w:pPr>
      <w:r>
        <w:t xml:space="preserve">Host "Osaka Teacher Innovation Summit" at Kyocera Dome; Secure contracts with 15 Osaka school districts</w:t>
      </w:r>
    </w:p>
    <w:p>
      <w:pPr>
        <w:pStyle w:val="BodyText"/>
      </w:pPr>
      <w:r>
        <w:t xml:space="preserve">&lt;</w:t>
      </w:r>
    </w:p>
    <w:p>
      <w:pPr>
        <w:pStyle w:val="BodyText"/>
      </w:pPr>
      <w:r>
        <w:t xml:space="preserve">15 institutional agreements; 40% referral rate from summit attendees</w:t>
      </w:r>
    </w:p>
    <w:p>
      <w:pPr>
        <w:pStyle w:val="BodyText"/>
      </w:pPr>
      <w:r>
        <w:t xml:space="preserve">Q2 2025</w:t>
      </w:r>
    </w:p>
    <w:p>
      <w:pPr>
        <w:pStyle w:val="BodyText"/>
      </w:pPr>
      <w:r>
        <w:t xml:space="preserve">Integrate Osaka Prefectural Board's new "Digital Classroom" guidelines; Launch MEXT-endorsed certification program</w:t>
      </w:r>
    </w:p>
    <w:p>
      <w:pPr>
        <w:pStyle w:val="BodyText"/>
      </w:pPr>
      <w:r>
        <w:t xml:space="preserve">95% curriculum alignment score; 30% premium conversion rate</w:t>
      </w:r>
    </w:p>
    <w:bookmarkEnd w:id="25"/>
    <w:bookmarkStart w:id="26" w:name="budget-allocation-osaka-priority-focus"/>
    <w:p>
      <w:pPr>
        <w:pStyle w:val="Heading2"/>
      </w:pPr>
      <w:r>
        <w:t xml:space="preserve">Budget Allocation: Osaka Priority Focus</w:t>
      </w:r>
    </w:p>
    <w:p>
      <w:pPr>
        <w:pStyle w:val="FirstParagraph"/>
      </w:pPr>
      <w:r>
        <w:t xml:space="preserve">Total Investment: ¥48,700,000 (15% allocated to Osaka-specific activities)</w:t>
      </w:r>
    </w:p>
    <w:p>
      <w:pPr>
        <w:numPr>
          <w:ilvl w:val="0"/>
          <w:numId w:val="1005"/>
        </w:numPr>
        <w:pStyle w:val="Compact"/>
      </w:pPr>
      <w:r>
        <w:rPr>
          <w:bCs/>
          <w:b/>
        </w:rPr>
        <w:t xml:space="preserve">Localization Development (45%):</w:t>
      </w:r>
      <w:r>
        <w:t xml:space="preserve"> </w:t>
      </w:r>
      <w:r>
        <w:t xml:space="preserve">¥21.9M for Osaka curriculum adaptation and Kansai cultural consultants</w:t>
      </w:r>
    </w:p>
    <w:p>
      <w:pPr>
        <w:numPr>
          <w:ilvl w:val="0"/>
          <w:numId w:val="1005"/>
        </w:numPr>
        <w:pStyle w:val="Compact"/>
      </w:pPr>
      <w:r>
        <w:rPr>
          <w:bCs/>
          <w:b/>
        </w:rPr>
        <w:t xml:space="preserve">Regional Partnerships (30%):</w:t>
      </w:r>
      <w:r>
        <w:t xml:space="preserve"> </w:t>
      </w:r>
      <w:r>
        <w:t xml:space="preserve">¥14.6M for OEC collaborations and venue costs at Osaka landmarks</w:t>
      </w:r>
    </w:p>
    <w:p>
      <w:pPr>
        <w:numPr>
          <w:ilvl w:val="0"/>
          <w:numId w:val="1005"/>
        </w:numPr>
        <w:pStyle w:val="Compact"/>
      </w:pPr>
      <w:r>
        <w:rPr>
          <w:bCs/>
          <w:b/>
        </w:rPr>
        <w:t xml:space="preserve">Digital Campaigns (15%):</w:t>
      </w:r>
      <w:r>
        <w:t xml:space="preserve"> </w:t>
      </w:r>
      <w:r>
        <w:t xml:space="preserve">¥7.3M targeting Osaka teachers on Line/Facebook with geo-fenced ads</w:t>
      </w:r>
    </w:p>
    <w:p>
      <w:pPr>
        <w:numPr>
          <w:ilvl w:val="0"/>
          <w:numId w:val="1005"/>
        </w:numPr>
        <w:pStyle w:val="Compact"/>
      </w:pPr>
      <w:r>
        <w:rPr>
          <w:bCs/>
          <w:b/>
        </w:rPr>
        <w:t xml:space="preserve">Measurement &amp; Optimization (10%):</w:t>
      </w:r>
      <w:r>
        <w:t xml:space="preserve"> </w:t>
      </w:r>
      <w:r>
        <w:t xml:space="preserve">¥4.9M for real-time feedback from Osaka educators via QR codes in classrooms</w:t>
      </w:r>
    </w:p>
    <w:bookmarkEnd w:id="26"/>
    <w:bookmarkStart w:id="27" w:name="Xfcb246bd139f7d29df204900ffc44049a47cf08"/>
    <w:p>
      <w:pPr>
        <w:pStyle w:val="Heading2"/>
      </w:pPr>
      <w:r>
        <w:t xml:space="preserve">Evaluation Metrics: Japan Osaka Performance Tracking</w:t>
      </w:r>
    </w:p>
    <w:p>
      <w:pPr>
        <w:pStyle w:val="FirstParagraph"/>
      </w:pPr>
      <w:r>
        <w:t xml:space="preserve">We measure success through Osaka-specific benchmarks:</w:t>
      </w:r>
    </w:p>
    <w:p>
      <w:pPr>
        <w:numPr>
          <w:ilvl w:val="0"/>
          <w:numId w:val="1006"/>
        </w:numPr>
        <w:pStyle w:val="Compact"/>
      </w:pPr>
      <w:r>
        <w:rPr>
          <w:iCs/>
          <w:i/>
        </w:rPr>
        <w:t xml:space="preserve">Engagement Depth:</w:t>
      </w:r>
      <w:r>
        <w:t xml:space="preserve"> </w:t>
      </w:r>
      <w:r>
        <w:t xml:space="preserve">Track usage of "Osaka Case Studies" (e.g., how often teachers use Kobe City exam patterns module)</w:t>
      </w:r>
    </w:p>
    <w:p>
      <w:pPr>
        <w:numPr>
          <w:ilvl w:val="0"/>
          <w:numId w:val="1006"/>
        </w:numPr>
        <w:pStyle w:val="Compact"/>
      </w:pPr>
      <w:r>
        <w:rPr>
          <w:iCs/>
          <w:i/>
        </w:rPr>
        <w:t xml:space="preserve">Trust Indicators:</w:t>
      </w:r>
      <w:r>
        <w:t xml:space="preserve"> </w:t>
      </w:r>
      <w:r>
        <w:t xml:space="preserve">Monitor MEXT certification application rates from Osaka users</w:t>
      </w:r>
    </w:p>
    <w:p>
      <w:pPr>
        <w:numPr>
          <w:ilvl w:val="0"/>
          <w:numId w:val="1006"/>
        </w:numPr>
        <w:pStyle w:val="Compact"/>
      </w:pPr>
      <w:r>
        <w:rPr>
          <w:iCs/>
          <w:i/>
        </w:rPr>
        <w:t xml:space="preserve">Cultural Resonance:</w:t>
      </w:r>
      <w:r>
        <w:t xml:space="preserve"> </w:t>
      </w:r>
      <w:r>
        <w:t xml:space="preserve">Conduct quarterly pulse surveys asking "Did this resource reflect our Osaka classroom reality?"</w:t>
      </w:r>
    </w:p>
    <w:p>
      <w:pPr>
        <w:numPr>
          <w:ilvl w:val="0"/>
          <w:numId w:val="1006"/>
        </w:numPr>
        <w:pStyle w:val="Compact"/>
      </w:pPr>
      <w:r>
        <w:rPr>
          <w:iCs/>
          <w:i/>
        </w:rPr>
        <w:t xml:space="preserve">Economic Impact:</w:t>
      </w:r>
      <w:r>
        <w:t xml:space="preserve"> </w:t>
      </w:r>
      <w:r>
        <w:t xml:space="preserve">Calculate time saved per teacher (e.g., 3.2 hours/week on lesson planning via Teacher Secondary resources)</w:t>
      </w:r>
    </w:p>
    <w:bookmarkEnd w:id="27"/>
    <w:bookmarkStart w:id="28" w:name="conclusion-why-osaka-must-be-first"/>
    <w:p>
      <w:pPr>
        <w:pStyle w:val="Heading2"/>
      </w:pPr>
      <w:r>
        <w:t xml:space="preserve">Conclusion: Why Osaka Must Be First</w:t>
      </w:r>
    </w:p>
    <w:p>
      <w:pPr>
        <w:pStyle w:val="FirstParagraph"/>
      </w:pPr>
      <w:r>
        <w:t xml:space="preserve">The Teacher Secondary Marketing Plan isn't merely a product launch—it's a cultural partnership with Osaka's educational future. By embedding ourselves within Osaka's unique pedagogical identity, we move beyond generic teacher platforms to become the trusted advisor for Japan's most dynamic education hub. As Osaka accelerates its "Smart School" initiative, Teacher Secondary will transform from support tool to strategic asset—proving that when educators in Japan Osaka lead with local insight, everyone wins. This Marketing Plan positions us not just to capture market share, but to redefine secondary teacher support in the heart of Kansai.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Japan Osaka</dc:title>
  <dc:creator/>
  <dc:language>en</dc:language>
  <cp:keywords/>
  <dcterms:created xsi:type="dcterms:W3CDTF">2026-06-01T03:56:11Z</dcterms:created>
  <dcterms:modified xsi:type="dcterms:W3CDTF">2026-06-01T03:56:11Z</dcterms:modified>
</cp:coreProperties>
</file>

<file path=docProps/custom.xml><?xml version="1.0" encoding="utf-8"?>
<Properties xmlns="http://schemas.openxmlformats.org/officeDocument/2006/custom-properties" xmlns:vt="http://schemas.openxmlformats.org/officeDocument/2006/docPropsVTypes"/>
</file>