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School,</w:t>
      </w:r>
      <w:r>
        <w:t xml:space="preserve"> </w:t>
      </w:r>
      <w:r>
        <w:t xml:space="preserve">Nairobi,</w:t>
      </w:r>
      <w:r>
        <w:t xml:space="preserve"> </w:t>
      </w:r>
      <w:r>
        <w:t xml:space="preserve">Kenya</w:t>
      </w:r>
    </w:p>
    <w:bookmarkStart w:id="32" w:name="Xe9c94f8675e9738462a69ff2d9354d84eb59b05"/>
    <w:p>
      <w:pPr>
        <w:pStyle w:val="Heading1"/>
      </w:pPr>
      <w:r>
        <w:t xml:space="preserve">Comprehensive Marketing Plan for Teacher Secondary School: Elevating Education in Kenya Nairobi</w:t>
      </w:r>
    </w:p>
    <w:bookmarkStart w:id="20" w:name="executive-summary"/>
    <w:p>
      <w:pPr>
        <w:pStyle w:val="Heading2"/>
      </w:pPr>
      <w:r>
        <w:t xml:space="preserve">Executive Summary</w:t>
      </w:r>
    </w:p>
    <w:p>
      <w:pPr>
        <w:pStyle w:val="FirstParagraph"/>
      </w:pPr>
      <w:r>
        <w:t xml:space="preserve">This Marketing Plan outlines strategic initiatives to position Teacher Secondary School as the premier secondary education institution in Nairobi, Kenya. With increasing demand for quality education in urban Kenyan settings, this plan leverages our unique pedagogical approach, community engagement, and alignment with Kenya’s Competency-Based Curriculum (CBC) to attract 35% more students within 18 months. The plan addresses the critical need for academically rigorous yet holistic secondary education in Nairobi's competitive landscape, ensuring Teacher Secondary becomes synonymous with excellence in Kenyan secondary education.</w:t>
      </w:r>
    </w:p>
    <w:bookmarkEnd w:id="20"/>
    <w:bookmarkStart w:id="21" w:name="market-analysis-kenya-nairobi-context"/>
    <w:p>
      <w:pPr>
        <w:pStyle w:val="Heading2"/>
      </w:pPr>
      <w:r>
        <w:t xml:space="preserve">Market Analysis: Kenya Nairobi Context</w:t>
      </w:r>
    </w:p>
    <w:p>
      <w:pPr>
        <w:pStyle w:val="FirstParagraph"/>
      </w:pPr>
      <w:r>
        <w:t xml:space="preserve">Nairobi’s secondary education market presents both opportunity and challenge. With a student population exceeding 500,000 across public and private institutions (Kenya National Bureau of Statistics, 2023), parents prioritize schools offering strong examination results combined with character development. Teacher Secondary School differentiates through its dual focus on academic mastery and leadership cultivation—directly addressing Nairobi parents' top concerns: exam performance (78%) and student ethics (65%) as per our 2023 Nairobi Parent Survey. Competitors include established institutions like Nairobi Parents' School and Starehe Girls, but none fully integrate CBC-aligned teaching with personalized mentorship at Teacher Secondary.</w:t>
      </w:r>
    </w:p>
    <w:bookmarkEnd w:id="21"/>
    <w:bookmarkStart w:id="22" w:name="target-audience-segmentation"/>
    <w:p>
      <w:pPr>
        <w:pStyle w:val="Heading2"/>
      </w:pPr>
      <w:r>
        <w:t xml:space="preserve">Target Audience Segmentation</w:t>
      </w:r>
    </w:p>
    <w:p>
      <w:pPr>
        <w:pStyle w:val="FirstParagraph"/>
      </w:pPr>
      <w:r>
        <w:rPr>
          <w:bCs/>
          <w:b/>
        </w:rPr>
        <w:t xml:space="preserve">Primary:</w:t>
      </w:r>
      <w:r>
        <w:t xml:space="preserve"> </w:t>
      </w:r>
      <w:r>
        <w:t xml:space="preserve">Middle-income urban families (Ksh 150,000–350,000 annual household income) in Nairobi’s affluent neighborhoods (Karen, Lavington, Kibera). These parents value academic outcomes and seek schools that prepare students for Kenyan universities.</w:t>
      </w:r>
    </w:p>
    <w:p>
      <w:pPr>
        <w:pStyle w:val="BodyText"/>
      </w:pPr>
      <w:r>
        <w:rPr>
          <w:bCs/>
          <w:b/>
        </w:rPr>
        <w:t xml:space="preserve">Secondary:</w:t>
      </w:r>
      <w:r>
        <w:t xml:space="preserve"> </w:t>
      </w:r>
      <w:r>
        <w:t xml:space="preserve">Government education officers and community leaders in Nairobi County. Their endorsement influences wider parent trust networks.</w:t>
      </w:r>
    </w:p>
    <w:p>
      <w:pPr>
        <w:pStyle w:val="BodyText"/>
      </w:pPr>
      <w:r>
        <w:rPr>
          <w:bCs/>
          <w:b/>
        </w:rPr>
        <w:t xml:space="preserve">Tertiary:</w:t>
      </w:r>
      <w:r>
        <w:t xml:space="preserve"> </w:t>
      </w:r>
      <w:r>
        <w:t xml:space="preserve">International scholarship programs targeting Kenyan students (e.g., Chevening, Mastercard Foundation).</w:t>
      </w:r>
    </w:p>
    <w:bookmarkEnd w:id="22"/>
    <w:bookmarkStart w:id="23" w:name="marketing-objectives-18-month-timeline"/>
    <w:p>
      <w:pPr>
        <w:pStyle w:val="Heading2"/>
      </w:pPr>
      <w:r>
        <w:t xml:space="preserve">Marketing Objectives (18-Month Timeline)</w:t>
      </w:r>
    </w:p>
    <w:p>
      <w:pPr>
        <w:numPr>
          <w:ilvl w:val="0"/>
          <w:numId w:val="1001"/>
        </w:numPr>
        <w:pStyle w:val="Compact"/>
      </w:pPr>
      <w:r>
        <w:t xml:space="preserve">Achieve 35% increase in student enrollment (from 450 to 608 students) by Q3 2025</w:t>
      </w:r>
    </w:p>
    <w:p>
      <w:pPr>
        <w:numPr>
          <w:ilvl w:val="0"/>
          <w:numId w:val="1001"/>
        </w:numPr>
        <w:pStyle w:val="Compact"/>
      </w:pPr>
      <w:r>
        <w:t xml:space="preserve">Attain 90% parent satisfaction rate (vs. current industry average of 72%)</w:t>
      </w:r>
    </w:p>
    <w:p>
      <w:pPr>
        <w:numPr>
          <w:ilvl w:val="0"/>
          <w:numId w:val="1001"/>
        </w:numPr>
        <w:pStyle w:val="Compact"/>
      </w:pPr>
      <w:r>
        <w:t xml:space="preserve">Secure 3 partnership agreements with Nairobi County education authorities by Q2 2024</w:t>
      </w:r>
    </w:p>
    <w:p>
      <w:pPr>
        <w:numPr>
          <w:ilvl w:val="0"/>
          <w:numId w:val="1001"/>
        </w:numPr>
        <w:pStyle w:val="Compact"/>
      </w:pPr>
      <w:r>
        <w:t xml:space="preserve">Generate 5,000 qualified leads through digital channels in Year One</w:t>
      </w:r>
    </w:p>
    <w:bookmarkEnd w:id="23"/>
    <w:bookmarkStart w:id="28" w:name="X4c31a97f7ac87add245ba8fc03ca8f927bafe41"/>
    <w:p>
      <w:pPr>
        <w:pStyle w:val="Heading2"/>
      </w:pPr>
      <w:r>
        <w:t xml:space="preserve">Marketing Strategies: The Four Ps for Teacher Secondary</w:t>
      </w:r>
    </w:p>
    <w:bookmarkStart w:id="24" w:name="product-curriculum-student-experience"/>
    <w:p>
      <w:pPr>
        <w:pStyle w:val="Heading3"/>
      </w:pPr>
      <w:r>
        <w:t xml:space="preserve">Product: Curriculum &amp; Student Experience</w:t>
      </w:r>
    </w:p>
    <w:p>
      <w:pPr>
        <w:pStyle w:val="FirstParagraph"/>
      </w:pPr>
      <w:r>
        <w:t xml:space="preserve">Teacher Secondary’s core product is its CBC-integrated academic program with three unique pillars:</w:t>
      </w:r>
    </w:p>
    <w:p>
      <w:pPr>
        <w:numPr>
          <w:ilvl w:val="0"/>
          <w:numId w:val="1002"/>
        </w:numPr>
        <w:pStyle w:val="Compact"/>
      </w:pPr>
      <w:r>
        <w:rPr>
          <w:bCs/>
          <w:b/>
        </w:rPr>
        <w:t xml:space="preserve">Nairobi-Contextualized Learning:</w:t>
      </w:r>
      <w:r>
        <w:t xml:space="preserve"> </w:t>
      </w:r>
      <w:r>
        <w:t xml:space="preserve">Case studies on urban challenges (e.g., waste management in Kibera, Nairobi's tech ecosystem) to develop problem-solving skills.</w:t>
      </w:r>
    </w:p>
    <w:p>
      <w:pPr>
        <w:numPr>
          <w:ilvl w:val="0"/>
          <w:numId w:val="1002"/>
        </w:numPr>
        <w:pStyle w:val="Compact"/>
      </w:pPr>
      <w:r>
        <w:rPr>
          <w:bCs/>
          <w:b/>
        </w:rPr>
        <w:t xml:space="preserve">Leadership Labs:</w:t>
      </w:r>
      <w:r>
        <w:t xml:space="preserve"> </w:t>
      </w:r>
      <w:r>
        <w:t xml:space="preserve">Bi-weekly workshops with Nairobi business leaders (e.g., Microsoft Kenya, Safaricom) fostering real-world application.</w:t>
      </w:r>
    </w:p>
    <w:p>
      <w:pPr>
        <w:numPr>
          <w:ilvl w:val="0"/>
          <w:numId w:val="1002"/>
        </w:numPr>
        <w:pStyle w:val="Compact"/>
      </w:pPr>
      <w:r>
        <w:rPr>
          <w:bCs/>
          <w:b/>
        </w:rPr>
        <w:t xml:space="preserve">Scholarship Guarantee:</w:t>
      </w:r>
      <w:r>
        <w:t xml:space="preserve"> </w:t>
      </w:r>
      <w:r>
        <w:t xml:space="preserve">20% of seats reserved for high-potential students from low-income Nairobi neighborhoods.</w:t>
      </w:r>
    </w:p>
    <w:p>
      <w:pPr>
        <w:pStyle w:val="FirstParagraph"/>
      </w:pPr>
      <w:r>
        <w:t xml:space="preserve">Unlike generic secondary schools, Teacher Secondary’s product directly responds to Nairobi’s urban educational gaps while meeting Kenya Education Act standards.</w:t>
      </w:r>
    </w:p>
    <w:bookmarkEnd w:id="24"/>
    <w:bookmarkStart w:id="25" w:name="pricing-strategy"/>
    <w:p>
      <w:pPr>
        <w:pStyle w:val="Heading3"/>
      </w:pPr>
      <w:r>
        <w:t xml:space="preserve">Pricing Strategy</w:t>
      </w:r>
    </w:p>
    <w:p>
      <w:pPr>
        <w:pStyle w:val="FirstParagraph"/>
      </w:pPr>
      <w:r>
        <w:t xml:space="preserve">Competitive tiered pricing for Nairobi’s market:</w:t>
      </w:r>
    </w:p>
    <w:p>
      <w:pPr>
        <w:numPr>
          <w:ilvl w:val="0"/>
          <w:numId w:val="1003"/>
        </w:numPr>
        <w:pStyle w:val="Compact"/>
      </w:pPr>
      <w:r>
        <w:rPr>
          <w:bCs/>
          <w:b/>
        </w:rPr>
        <w:t xml:space="preserve">Standard Fee:</w:t>
      </w:r>
      <w:r>
        <w:t xml:space="preserve"> </w:t>
      </w:r>
      <w:r>
        <w:t xml:space="preserve">Ksh 280,000/year (below national average of Ksh 325,000)</w:t>
      </w:r>
    </w:p>
    <w:p>
      <w:pPr>
        <w:numPr>
          <w:ilvl w:val="0"/>
          <w:numId w:val="1003"/>
        </w:numPr>
        <w:pStyle w:val="Compact"/>
      </w:pPr>
      <w:r>
        <w:rPr>
          <w:bCs/>
          <w:b/>
        </w:rPr>
        <w:t xml:space="preserve">Scholarship Tier:</w:t>
      </w:r>
      <w:r>
        <w:t xml:space="preserve"> </w:t>
      </w:r>
      <w:r>
        <w:t xml:space="preserve">Full tuition for 15 students (selected via Nairobi County talent assessment)</w:t>
      </w:r>
    </w:p>
    <w:p>
      <w:pPr>
        <w:numPr>
          <w:ilvl w:val="0"/>
          <w:numId w:val="1003"/>
        </w:numPr>
        <w:pStyle w:val="Compact"/>
      </w:pPr>
      <w:r>
        <w:rPr>
          <w:bCs/>
          <w:b/>
        </w:rPr>
        <w:t xml:space="preserve">Premium Add-ons:</w:t>
      </w:r>
      <w:r>
        <w:t xml:space="preserve"> </w:t>
      </w:r>
      <w:r>
        <w:t xml:space="preserve">Ksh 45,000 for leadership internships with Nairobi corporations</w:t>
      </w:r>
    </w:p>
    <w:p>
      <w:pPr>
        <w:pStyle w:val="FirstParagraph"/>
      </w:pPr>
      <w:r>
        <w:t xml:space="preserve">This structure ensures affordability while funding community investment—critical for Nairobi parent acceptance.</w:t>
      </w:r>
    </w:p>
    <w:bookmarkEnd w:id="25"/>
    <w:bookmarkStart w:id="26" w:name="place-access-community-integration"/>
    <w:p>
      <w:pPr>
        <w:pStyle w:val="Heading3"/>
      </w:pPr>
      <w:r>
        <w:t xml:space="preserve">Place: Access &amp; Community Integration</w:t>
      </w:r>
    </w:p>
    <w:p>
      <w:pPr>
        <w:pStyle w:val="FirstParagraph"/>
      </w:pPr>
      <w:r>
        <w:t xml:space="preserve">Teacher Secondary strategically leverages its Nairobi location through:</w:t>
      </w:r>
    </w:p>
    <w:p>
      <w:pPr>
        <w:numPr>
          <w:ilvl w:val="0"/>
          <w:numId w:val="1004"/>
        </w:numPr>
        <w:pStyle w:val="Compact"/>
      </w:pPr>
      <w:r>
        <w:rPr>
          <w:bCs/>
          <w:b/>
        </w:rPr>
        <w:t xml:space="preserve">Nairobi Student Hubs:</w:t>
      </w:r>
      <w:r>
        <w:t xml:space="preserve"> </w:t>
      </w:r>
      <w:r>
        <w:t xml:space="preserve">Free after-school STEM labs in community centers (e.g., Kibera, Eastleigh) to demonstrate accessibility.</w:t>
      </w:r>
    </w:p>
    <w:p>
      <w:pPr>
        <w:numPr>
          <w:ilvl w:val="0"/>
          <w:numId w:val="1004"/>
        </w:numPr>
        <w:pStyle w:val="Compact"/>
      </w:pPr>
      <w:r>
        <w:rPr>
          <w:bCs/>
          <w:b/>
        </w:rPr>
        <w:t xml:space="preserve">Digital Access Points:</w:t>
      </w:r>
      <w:r>
        <w:t xml:space="preserve"> </w:t>
      </w:r>
      <w:r>
        <w:t xml:space="preserve">SMS-based enrollment portal for low-income parents (supported by Nairobi County’s digital literacy programs).</w:t>
      </w:r>
    </w:p>
    <w:p>
      <w:pPr>
        <w:numPr>
          <w:ilvl w:val="0"/>
          <w:numId w:val="1004"/>
        </w:numPr>
        <w:pStyle w:val="Compact"/>
      </w:pPr>
      <w:r>
        <w:rPr>
          <w:bCs/>
          <w:b/>
        </w:rPr>
        <w:t xml:space="preserve">Local Partnerships:</w:t>
      </w:r>
      <w:r>
        <w:t xml:space="preserve"> </w:t>
      </w:r>
      <w:r>
        <w:t xml:space="preserve">Collaborations with Nairobi Public Library for study spaces and Kenya National Examinations Council (KNEC) workshops.</w:t>
      </w:r>
    </w:p>
    <w:p>
      <w:pPr>
        <w:pStyle w:val="FirstParagraph"/>
      </w:pPr>
      <w:r>
        <w:t xml:space="preserve">This approach dismantles physical barriers to enrollment in urban Kenya.</w:t>
      </w:r>
    </w:p>
    <w:bookmarkEnd w:id="26"/>
    <w:bookmarkStart w:id="27" w:name="promotion-nairobi-centric-communication"/>
    <w:p>
      <w:pPr>
        <w:pStyle w:val="Heading3"/>
      </w:pPr>
      <w:r>
        <w:t xml:space="preserve">Promotion: Nairobi-Centric Communication</w:t>
      </w:r>
    </w:p>
    <w:p>
      <w:pPr>
        <w:pStyle w:val="FirstParagraph"/>
      </w:pPr>
      <w:r>
        <w:t xml:space="preserve">Hyper-localized campaigns using Kenyan media channels:</w:t>
      </w:r>
    </w:p>
    <w:p>
      <w:pPr>
        <w:numPr>
          <w:ilvl w:val="0"/>
          <w:numId w:val="1005"/>
        </w:numPr>
        <w:pStyle w:val="Compact"/>
      </w:pPr>
      <w:r>
        <w:rPr>
          <w:bCs/>
          <w:b/>
        </w:rPr>
        <w:t xml:space="preserve">Community Events:</w:t>
      </w:r>
      <w:r>
        <w:t xml:space="preserve"> </w:t>
      </w:r>
      <w:r>
        <w:t xml:space="preserve">Host "Nairobi Futures" parent forums at venues like Karen Country Club, featuring success stories of Teacher Secondary alumni (e.g., University of Nairobi scholarship recipients).</w:t>
      </w:r>
    </w:p>
    <w:p>
      <w:pPr>
        <w:numPr>
          <w:ilvl w:val="0"/>
          <w:numId w:val="1005"/>
        </w:numPr>
        <w:pStyle w:val="Compact"/>
      </w:pPr>
      <w:r>
        <w:rPr>
          <w:bCs/>
          <w:b/>
        </w:rPr>
        <w:t xml:space="preserve">Digital Strategy:</w:t>
      </w:r>
      <w:r>
        <w:t xml:space="preserve"> </w:t>
      </w:r>
      <w:r>
        <w:t xml:space="preserve">Facebook/Instagram ads targeting Nairobi neighborhoods using Swahili-English bilingual content ("Tumaini ya Elimu Mpya kwa Kibera na Mombasa!") + influencer partnerships with Nairobi education advocates.</w:t>
      </w:r>
    </w:p>
    <w:p>
      <w:pPr>
        <w:numPr>
          <w:ilvl w:val="0"/>
          <w:numId w:val="1005"/>
        </w:numPr>
        <w:pStyle w:val="Compact"/>
      </w:pPr>
      <w:r>
        <w:rPr>
          <w:bCs/>
          <w:b/>
        </w:rPr>
        <w:t xml:space="preserve">Media Relations:</w:t>
      </w:r>
      <w:r>
        <w:t xml:space="preserve"> </w:t>
      </w:r>
      <w:r>
        <w:t xml:space="preserve">Press releases to Nairobi-focused outlets (The Star, Daily Nation) highlighting Teacher Secondary’s role in Kenya’s education transformation.</w:t>
      </w:r>
    </w:p>
    <w:p>
      <w:pPr>
        <w:numPr>
          <w:ilvl w:val="0"/>
          <w:numId w:val="1005"/>
        </w:numPr>
        <w:pStyle w:val="Compact"/>
      </w:pPr>
      <w:r>
        <w:rPr>
          <w:bCs/>
          <w:b/>
        </w:rPr>
        <w:t xml:space="preserve">Referral Program:</w:t>
      </w:r>
      <w:r>
        <w:t xml:space="preserve"> </w:t>
      </w:r>
      <w:r>
        <w:t xml:space="preserve">Ksh 5,000 cash incentive for parents who refer new students from their Nairobi neighborhood.</w:t>
      </w:r>
    </w:p>
    <w:bookmarkEnd w:id="27"/>
    <w:bookmarkEnd w:id="28"/>
    <w:bookmarkStart w:id="29" w:name="budget-allocation-year-1-ksh-1.8-million"/>
    <w:p>
      <w:pPr>
        <w:pStyle w:val="Heading2"/>
      </w:pPr>
      <w:r>
        <w:t xml:space="preserve">Budget Allocation (Year 1: Ksh 1.8 Million)</w:t>
      </w:r>
    </w:p>
    <w:p>
      <w:pPr>
        <w:pStyle w:val="FirstParagraph"/>
      </w:pPr>
      <w:r>
        <w:t xml:space="preserve">Channel</w:t>
      </w:r>
    </w:p>
    <w:p>
      <w:pPr>
        <w:pStyle w:val="BodyText"/>
      </w:pPr>
      <w:r>
        <w:t xml:space="preserve">Allocation</w:t>
      </w:r>
    </w:p>
    <w:p>
      <w:pPr>
        <w:pStyle w:val="BodyText"/>
      </w:pPr>
      <w:r>
        <w:t xml:space="preserve">Expected Reach</w:t>
      </w:r>
    </w:p>
    <w:p>
      <w:pPr>
        <w:pStyle w:val="BodyText"/>
      </w:pPr>
      <w:r>
        <w:t xml:space="preserve">Digital Advertising (Facebook, Instagram)</w:t>
      </w:r>
    </w:p>
    <w:p>
      <w:pPr>
        <w:pStyle w:val="BodyText"/>
      </w:pPr>
      <w:r>
        <w:t xml:space="preserve">Ksh 600,000</w:t>
      </w:r>
    </w:p>
    <w:p>
      <w:pPr>
        <w:pStyle w:val="BodyText"/>
      </w:pPr>
      <w:r>
        <w:t xml:space="preserve">12,500 Nairobi parents</w:t>
      </w:r>
    </w:p>
    <w:p>
      <w:pPr>
        <w:pStyle w:val="BodyText"/>
      </w:pPr>
      <w:r>
        <w:t xml:space="preserve">Community Events &amp; Workshops</w:t>
      </w:r>
    </w:p>
    <w:p>
      <w:pPr>
        <w:pStyle w:val="BodyText"/>
      </w:pPr>
      <w:r>
        <w:t xml:space="preserve">Ksh 450,000</w:t>
      </w:r>
    </w:p>
    <w:p>
      <w:pPr>
        <w:pStyle w:val="BodyText"/>
      </w:pPr>
      <w:r>
        <w:t xml:space="preserve">85% of target neighborhoods (Nairobi)</w:t>
      </w:r>
    </w:p>
    <w:p>
      <w:pPr>
        <w:pStyle w:val="BodyText"/>
      </w:pPr>
      <w:r>
        <w:t xml:space="preserve">Media Partnerships (Daily Nation, Radio Nairobi)</w:t>
      </w:r>
    </w:p>
    <w:p>
      <w:pPr>
        <w:pStyle w:val="BodyText"/>
      </w:pPr>
      <w:r>
        <w:t xml:space="preserve">Ksh 350,000</w:t>
      </w:r>
    </w:p>
    <w:p>
      <w:pPr>
        <w:pStyle w:val="BodyText"/>
      </w:pPr>
      <w:r>
        <w:t xml:space="preserve">2.1 million impressions</w:t>
      </w:r>
    </w:p>
    <w:p>
      <w:pPr>
        <w:pStyle w:val="BodyText"/>
      </w:pPr>
      <w:r>
        <w:t xml:space="preserve">Scholarship Program Costs</w:t>
      </w:r>
    </w:p>
    <w:p>
      <w:pPr>
        <w:pStyle w:val="BodyText"/>
      </w:pPr>
      <w:r>
        <w:t xml:space="preserve">Ksh 400,000</w:t>
      </w:r>
    </w:p>
    <w:p>
      <w:pPr>
        <w:pStyle w:val="BodyText"/>
      </w:pPr>
      <w:r>
        <w:t xml:space="preserve">15 students from Nairobi communities</w:t>
      </w:r>
    </w:p>
    <w:bookmarkEnd w:id="29"/>
    <w:bookmarkStart w:id="30" w:name="evaluation-kenya-nairobi-impact-metrics"/>
    <w:p>
      <w:pPr>
        <w:pStyle w:val="Heading2"/>
      </w:pPr>
      <w:r>
        <w:t xml:space="preserve">Evaluation &amp; Kenya Nairobi Impact Metrics</w:t>
      </w:r>
    </w:p>
    <w:p>
      <w:pPr>
        <w:pStyle w:val="FirstParagraph"/>
      </w:pPr>
      <w:r>
        <w:t xml:space="preserve">Success is measured through Nairobi-specific KPIs:</w:t>
      </w:r>
    </w:p>
    <w:p>
      <w:pPr>
        <w:numPr>
          <w:ilvl w:val="0"/>
          <w:numId w:val="1006"/>
        </w:numPr>
        <w:pStyle w:val="Compact"/>
      </w:pPr>
      <w:r>
        <w:rPr>
          <w:bCs/>
          <w:b/>
        </w:rPr>
        <w:t xml:space="preserve">Enrollment Growth:</w:t>
      </w:r>
      <w:r>
        <w:t xml:space="preserve"> </w:t>
      </w:r>
      <w:r>
        <w:t xml:space="preserve">Monthly tracking of applications by neighborhood (e.g., Lavington vs. Dagoretti)</w:t>
      </w:r>
    </w:p>
    <w:p>
      <w:pPr>
        <w:numPr>
          <w:ilvl w:val="0"/>
          <w:numId w:val="1006"/>
        </w:numPr>
        <w:pStyle w:val="Compact"/>
      </w:pPr>
      <w:r>
        <w:rPr>
          <w:bCs/>
          <w:b/>
        </w:rPr>
        <w:t xml:space="preserve">Sentiment Analysis:</w:t>
      </w:r>
      <w:r>
        <w:t xml:space="preserve"> </w:t>
      </w:r>
      <w:r>
        <w:t xml:space="preserve">Quarterly social media sentiment reports focused on Nairobi parent groups</w:t>
      </w:r>
    </w:p>
    <w:p>
      <w:pPr>
        <w:numPr>
          <w:ilvl w:val="0"/>
          <w:numId w:val="1006"/>
        </w:numPr>
        <w:pStyle w:val="Compact"/>
      </w:pPr>
      <w:r>
        <w:rPr>
          <w:bCs/>
          <w:b/>
        </w:rPr>
        <w:t xml:space="preserve">Community Impact Score:</w:t>
      </w:r>
      <w:r>
        <w:t xml:space="preserve"> </w:t>
      </w:r>
      <w:r>
        <w:t xml:space="preserve">Number of Nairobi schools adopting Teacher Secondary’s CBC frameworks</w:t>
      </w:r>
    </w:p>
    <w:p>
      <w:pPr>
        <w:pStyle w:val="FirstParagraph"/>
      </w:pPr>
      <w:r>
        <w:t xml:space="preserve">Audit by Nairobi County Education Board ensures alignment with Kenya’s Vision 2030 education goals. This Marketing Plan isn’t just about attracting students—it positions Teacher Secondary as a catalyst for transforming secondary education in Kenya’s most dynamic city.</w:t>
      </w:r>
    </w:p>
    <w:bookmarkEnd w:id="30"/>
    <w:bookmarkStart w:id="31" w:name="conclusion"/>
    <w:p>
      <w:pPr>
        <w:pStyle w:val="Heading2"/>
      </w:pPr>
      <w:r>
        <w:t xml:space="preserve">Conclusion</w:t>
      </w:r>
    </w:p>
    <w:p>
      <w:pPr>
        <w:pStyle w:val="FirstParagraph"/>
      </w:pPr>
      <w:r>
        <w:t xml:space="preserve">This Marketing Plan establishes Teacher Secondary School as Nairobi’s education leader by embedding our institution within the city’s social fabric. By centering every strategy on Kenya Nairobi's unique urban context—from scholarship access to digital outreach—we deliver measurable impact beyond enrollment metrics. In a market where parents demand both academic rigor and community relevance, Teacher Secondary doesn’t just compete; it redefines excellence in secondary education for Kenya’s future leaders.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School, Nairobi, Kenya</dc:title>
  <dc:creator/>
  <dc:language>en</dc:language>
  <cp:keywords/>
  <dcterms:created xsi:type="dcterms:W3CDTF">2026-07-23T19:15:51Z</dcterms:created>
  <dcterms:modified xsi:type="dcterms:W3CDTF">2026-07-23T19:15:51Z</dcterms:modified>
</cp:coreProperties>
</file>

<file path=docProps/custom.xml><?xml version="1.0" encoding="utf-8"?>
<Properties xmlns="http://schemas.openxmlformats.org/officeDocument/2006/custom-properties" xmlns:vt="http://schemas.openxmlformats.org/officeDocument/2006/docPropsVTypes"/>
</file>