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Secondary</w:t>
      </w:r>
      <w:r>
        <w:t xml:space="preserve"> </w:t>
      </w:r>
      <w:r>
        <w:t xml:space="preserve">School</w:t>
      </w:r>
      <w:r>
        <w:t xml:space="preserve"> </w:t>
      </w:r>
      <w:r>
        <w:t xml:space="preserve">Teachers</w:t>
      </w:r>
      <w:r>
        <w:t xml:space="preserve"> </w:t>
      </w:r>
      <w:r>
        <w:t xml:space="preserve">for</w:t>
      </w:r>
      <w:r>
        <w:t xml:space="preserve"> </w:t>
      </w:r>
      <w:r>
        <w:t xml:space="preserve">Kuwait</w:t>
      </w:r>
      <w:r>
        <w:t xml:space="preserve"> </w:t>
      </w:r>
      <w:r>
        <w:t xml:space="preserve">City</w:t>
      </w:r>
    </w:p>
    <w:bookmarkStart w:id="30" w:name="X5adc36a667e4aac25846bd69680ae1eccb5d096"/>
    <w:p>
      <w:pPr>
        <w:pStyle w:val="Heading1"/>
      </w:pPr>
      <w:r>
        <w:t xml:space="preserve">Marketing Plan: Strategic Recruitment of Secondary School Teachers in Kuwait City</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secondary school teachers for the education sector across Kuwait City. With Kuwait's education system undergoing significant modernization under Vision 2035, there is an acute demand for skilled secondary educators (grades 10-12) who can deliver curriculum excellence in English, STEM, and humanities. This plan leverages Kuwait City’s strategic position as the cultural and educational hub of Kuwait to attract global talent through culturally attuned marketing channels. The initiative directly addresses teacher shortages in public and private secondary institutions while positioning Kuwait City as an exceptional destination for international educators seeking professional growth amid rich cultural immersion.</w:t>
      </w:r>
    </w:p>
    <w:bookmarkEnd w:id="20"/>
    <w:bookmarkStart w:id="21" w:name="X08f88049e9036986c82096824bb0d06ae2427ee"/>
    <w:p>
      <w:pPr>
        <w:pStyle w:val="Heading2"/>
      </w:pPr>
      <w:r>
        <w:t xml:space="preserve">Market Analysis: Teacher Secondary Demand in Kuwait City</w:t>
      </w:r>
    </w:p>
    <w:p>
      <w:pPr>
        <w:pStyle w:val="FirstParagraph"/>
      </w:pPr>
      <w:r>
        <w:t xml:space="preserve">Kuwait City hosts over 400 secondary schools, including 150+ public institutions and a rapidly expanding private sector catering to diverse nationalities. The Ministry of Education reports a critical shortage of certified secondary teachers in core subjects (Mathematics, Physics, Biology), with vacancy rates exceeding 22% in key disciplines. This gap is exacerbated by Kuwait’s commitment to implementing internationally benchmarked curricula like the Cambridge International and IB programs, requiring educators with specialized training. Crucially, 78% of schools now prioritize candidates possessing cross-cultural communication skills—a direct response to Kuwait City’s multicultural student body (over 35 nationalities per school). Competitor analysis reveals that existing recruitment campaigns lack localized cultural narratives; this plan rectifies that by embedding Kuwait City’s unique identity into every touchpoint.</w:t>
      </w:r>
    </w:p>
    <w:bookmarkEnd w:id="21"/>
    <w:bookmarkStart w:id="22" w:name="X4f58c09312c7ae1b744ad9fa8f722dda286e004"/>
    <w:p>
      <w:pPr>
        <w:pStyle w:val="Heading2"/>
      </w:pPr>
      <w:r>
        <w:t xml:space="preserve">Target Audience: Ideal Secondary School Teachers</w:t>
      </w:r>
    </w:p>
    <w:p>
      <w:pPr>
        <w:pStyle w:val="FirstParagraph"/>
      </w:pPr>
      <w:r>
        <w:t xml:space="preserve">Our primary audience comprises certified secondary educators (ages 28–45) from English-speaking countries (UK, Canada, Australia, US) and high-demand regions (Philippines, India). Key motivators include:</w:t>
      </w:r>
    </w:p>
    <w:p>
      <w:pPr>
        <w:numPr>
          <w:ilvl w:val="0"/>
          <w:numId w:val="1001"/>
        </w:numPr>
        <w:pStyle w:val="Compact"/>
      </w:pPr>
      <w:r>
        <w:t xml:space="preserve">Competitive tax-free salaries (USD $60k–$95k annually for secondary specialists)</w:t>
      </w:r>
    </w:p>
    <w:p>
      <w:pPr>
        <w:numPr>
          <w:ilvl w:val="0"/>
          <w:numId w:val="1001"/>
        </w:numPr>
        <w:pStyle w:val="Compact"/>
      </w:pPr>
      <w:r>
        <w:t xml:space="preserve">Full visa sponsorship + housing allowances</w:t>
      </w:r>
    </w:p>
    <w:p>
      <w:pPr>
        <w:numPr>
          <w:ilvl w:val="0"/>
          <w:numId w:val="1001"/>
        </w:numPr>
        <w:pStyle w:val="Compact"/>
      </w:pPr>
      <w:r>
        <w:t xml:space="preserve">Cultural immersion opportunities in Kuwait City’s historic districts (Safat, Al-Shuwaikh) and Gulf-side communities</w:t>
      </w:r>
    </w:p>
    <w:p>
      <w:pPr>
        <w:numPr>
          <w:ilvl w:val="0"/>
          <w:numId w:val="1001"/>
        </w:numPr>
        <w:pStyle w:val="Compact"/>
      </w:pPr>
      <w:r>
        <w:t xml:space="preserve">Professional development pathways aligned with Kuwait Vision 2035 education goals</w:t>
      </w:r>
    </w:p>
    <w:bookmarkEnd w:id="22"/>
    <w:bookmarkStart w:id="23" w:name="Xa56a54d5c61e0e9496c5873a0d1373168d07dcb"/>
    <w:p>
      <w:pPr>
        <w:pStyle w:val="Heading2"/>
      </w:pPr>
      <w:r>
        <w:t xml:space="preserve">Unique Value Proposition: Why Choose Teacher Secondary in Kuwait City?</w:t>
      </w:r>
    </w:p>
    <w:p>
      <w:pPr>
        <w:pStyle w:val="FirstParagraph"/>
      </w:pPr>
      <w:r>
        <w:t xml:space="preserve">We position Kuwait City not merely as a workplace but as a transformative professional and personal destination. Unlike generic recruitment campaigns, our Marketing Plan emphasizes:</w:t>
      </w:r>
    </w:p>
    <w:p>
      <w:pPr>
        <w:numPr>
          <w:ilvl w:val="0"/>
          <w:numId w:val="1002"/>
        </w:numPr>
        <w:pStyle w:val="Compact"/>
      </w:pPr>
      <w:r>
        <w:rPr>
          <w:bCs/>
          <w:b/>
        </w:rPr>
        <w:t xml:space="preserve">Cultural Integration Support:</w:t>
      </w:r>
      <w:r>
        <w:t xml:space="preserve"> </w:t>
      </w:r>
      <w:r>
        <w:t xml:space="preserve">Pre-arrival cultural orientation programs addressing Kuwaiti etiquette, Islamic customs, and local education norms.</w:t>
      </w:r>
    </w:p>
    <w:p>
      <w:pPr>
        <w:numPr>
          <w:ilvl w:val="0"/>
          <w:numId w:val="1002"/>
        </w:numPr>
        <w:pStyle w:val="Compact"/>
      </w:pPr>
      <w:r>
        <w:rPr>
          <w:bCs/>
          <w:b/>
        </w:rPr>
        <w:t xml:space="preserve">Kuwait City Experience:</w:t>
      </w:r>
      <w:r>
        <w:t xml:space="preserve"> </w:t>
      </w:r>
      <w:r>
        <w:t xml:space="preserve">Highlighting proximity to iconic sites (Sheikh Abdullah Al-Salem Cultural Centre, Kuwait Towers) and Gulf lifestyle (beaches, heritage souqs) within a 30-minute commute from most schools.</w:t>
      </w:r>
    </w:p>
    <w:p>
      <w:pPr>
        <w:numPr>
          <w:ilvl w:val="0"/>
          <w:numId w:val="1002"/>
        </w:numPr>
        <w:pStyle w:val="Compact"/>
      </w:pPr>
      <w:r>
        <w:rPr>
          <w:bCs/>
          <w:b/>
        </w:rPr>
        <w:t xml:space="preserve">Career Acceleration:</w:t>
      </w:r>
      <w:r>
        <w:t xml:space="preserve"> </w:t>
      </w:r>
      <w:r>
        <w:t xml:space="preserve">Partnerships with Kuwait University for subsidized master’s programs in educational leadership, directly enhancing secondary teachers’ long-term prospects.</w:t>
      </w:r>
    </w:p>
    <w:bookmarkEnd w:id="23"/>
    <w:bookmarkStart w:id="26" w:name="X89bd6991ec69e323446f9099b21aba51abb4eb5"/>
    <w:p>
      <w:pPr>
        <w:pStyle w:val="Heading2"/>
      </w:pPr>
      <w:r>
        <w:t xml:space="preserve">Marketing Strategy: Multi-Channel Engagement</w:t>
      </w:r>
    </w:p>
    <w:p>
      <w:pPr>
        <w:pStyle w:val="FirstParagraph"/>
      </w:pPr>
      <w:r>
        <w:t xml:space="preserve">We deploy a hyper-localized digital and partnership-driven approach to reach secondary educators globally:</w:t>
      </w:r>
    </w:p>
    <w:bookmarkStart w:id="24" w:name="digital-campaigns-kuwait-city-centric"/>
    <w:p>
      <w:pPr>
        <w:pStyle w:val="Heading3"/>
      </w:pPr>
      <w:r>
        <w:t xml:space="preserve">Digital Campaigns (Kuwait City-Centric)</w:t>
      </w:r>
    </w:p>
    <w:p>
      <w:pPr>
        <w:numPr>
          <w:ilvl w:val="0"/>
          <w:numId w:val="1003"/>
        </w:numPr>
        <w:pStyle w:val="Compact"/>
      </w:pPr>
      <w:r>
        <w:rPr>
          <w:bCs/>
          <w:b/>
        </w:rPr>
        <w:t xml:space="preserve">Geo-Targeted Social Media:</w:t>
      </w:r>
      <w:r>
        <w:t xml:space="preserve"> </w:t>
      </w:r>
      <w:r>
        <w:t xml:space="preserve">LinkedIn and Facebook ads with Kuwait City imagery (e.g., teachers at Al-Ma’had International School, students exploring Kuwaiti museums) targeting education job boards in the UK, Australia, and India. Keywords: “Secondary Teacher Jobs Kuwait City,” “Teach in Gulf Secondary Schools.”</w:t>
      </w:r>
    </w:p>
    <w:p>
      <w:pPr>
        <w:numPr>
          <w:ilvl w:val="0"/>
          <w:numId w:val="1003"/>
        </w:numPr>
        <w:pStyle w:val="Compact"/>
      </w:pPr>
      <w:r>
        <w:rPr>
          <w:bCs/>
          <w:b/>
        </w:rPr>
        <w:t xml:space="preserve">Video Testimonials:</w:t>
      </w:r>
      <w:r>
        <w:t xml:space="preserve"> </w:t>
      </w:r>
      <w:r>
        <w:t xml:space="preserve">Short films featuring current secondary teachers in Kuwait City discussing their classroom successes (e.g., “How I Led a STEM Project at Al-Adan Secondary School”) and cultural experiences (visiting the National Museum with family).</w:t>
      </w:r>
    </w:p>
    <w:p>
      <w:pPr>
        <w:numPr>
          <w:ilvl w:val="0"/>
          <w:numId w:val="1003"/>
        </w:numPr>
        <w:pStyle w:val="Compact"/>
      </w:pPr>
      <w:r>
        <w:rPr>
          <w:bCs/>
          <w:b/>
        </w:rPr>
        <w:t xml:space="preserve">Kuwait-Specific Website Hub:</w:t>
      </w:r>
      <w:r>
        <w:t xml:space="preserve"> </w:t>
      </w:r>
      <w:r>
        <w:t xml:space="preserve">A dedicated microsite (“TeacherSecondaryKuwaitCity.com”) offering real-time vacancy listings by district (Salmiya, Farwaniya), salary calculators in USD/KWD, and visa process guides tailored to Kuwait’s Ministry of Education requirements.</w:t>
      </w:r>
    </w:p>
    <w:bookmarkEnd w:id="24"/>
    <w:bookmarkStart w:id="25" w:name="strategic-partnerships"/>
    <w:p>
      <w:pPr>
        <w:pStyle w:val="Heading3"/>
      </w:pPr>
      <w:r>
        <w:t xml:space="preserve">Strategic Partnerships</w:t>
      </w:r>
    </w:p>
    <w:p>
      <w:pPr>
        <w:numPr>
          <w:ilvl w:val="0"/>
          <w:numId w:val="1004"/>
        </w:numPr>
        <w:pStyle w:val="Compact"/>
      </w:pPr>
      <w:r>
        <w:rPr>
          <w:bCs/>
          <w:b/>
        </w:rPr>
        <w:t xml:space="preserve">International Teacher Associations:</w:t>
      </w:r>
      <w:r>
        <w:t xml:space="preserve"> </w:t>
      </w:r>
      <w:r>
        <w:t xml:space="preserve">Collaborating with organizations like the National Association of Secondary School Principals (NASSP) to co-host webinars on “Teaching Secondary Curriculum in Kuwait City’s Dynamic Classrooms.”</w:t>
      </w:r>
    </w:p>
    <w:p>
      <w:pPr>
        <w:numPr>
          <w:ilvl w:val="0"/>
          <w:numId w:val="1004"/>
        </w:numPr>
        <w:pStyle w:val="Compact"/>
      </w:pPr>
      <w:r>
        <w:rPr>
          <w:bCs/>
          <w:b/>
        </w:rPr>
        <w:t xml:space="preserve">Embassy Outreach:</w:t>
      </w:r>
      <w:r>
        <w:t xml:space="preserve"> </w:t>
      </w:r>
      <w:r>
        <w:t xml:space="preserve">Joint campaigns with Kuwaiti embassies in London, New Delhi, and Manila featuring “Teacher Recruitment Days” with school representatives.</w:t>
      </w:r>
    </w:p>
    <w:p>
      <w:pPr>
        <w:numPr>
          <w:ilvl w:val="0"/>
          <w:numId w:val="1004"/>
        </w:numPr>
        <w:pStyle w:val="Compact"/>
      </w:pPr>
      <w:r>
        <w:rPr>
          <w:bCs/>
          <w:b/>
        </w:rPr>
        <w:t xml:space="preserve">Alumni Networks:</w:t>
      </w:r>
      <w:r>
        <w:t xml:space="preserve"> </w:t>
      </w:r>
      <w:r>
        <w:t xml:space="preserve">Leveraging existing networks of Kuwait University graduates who are now secondary educators to share authentic testimonials via email newsletters.</w:t>
      </w:r>
    </w:p>
    <w:bookmarkEnd w:id="25"/>
    <w:bookmarkEnd w:id="26"/>
    <w:bookmarkStart w:id="27" w:name="implementation-timeline-kpis"/>
    <w:p>
      <w:pPr>
        <w:pStyle w:val="Heading2"/>
      </w:pPr>
      <w:r>
        <w:t xml:space="preserve">Implementation Timeline &amp; KPIs</w:t>
      </w:r>
    </w:p>
    <w:p>
      <w:pPr>
        <w:pStyle w:val="FirstParagraph"/>
      </w:pPr>
      <w:r>
        <w:t xml:space="preserve">The 18-month plan prioritizes Kuwait City’s academic calendar (August–May term cycles):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Market Research &amp; Content Creation</w:t>
            </w:r>
          </w:p>
        </w:tc>
        <w:tc>
          <w:tcPr/>
          <w:p>
            <w:pPr>
              <w:pStyle w:val="Compact"/>
              <w:jc w:val="left"/>
            </w:pPr>
            <w:r>
              <w:t xml:space="preserve">Months 1–3</w:t>
            </w:r>
          </w:p>
        </w:tc>
        <w:tc>
          <w:tcPr/>
          <w:p>
            <w:pPr>
              <w:pStyle w:val="Compact"/>
              <w:jc w:val="left"/>
            </w:pPr>
            <w:r>
              <w:t xml:space="preserve">- 50+ cultural case studies from Kuwait City schools</w:t>
            </w:r>
            <w:r>
              <w:br/>
            </w:r>
            <w:r>
              <w:t xml:space="preserve">- Localization of all materials to Kuwaiti context (e.g., Arabic greetings in brochures)</w:t>
            </w:r>
          </w:p>
        </w:tc>
      </w:tr>
      <w:tr>
        <w:tc>
          <w:tcPr/>
          <w:p>
            <w:pPr>
              <w:pStyle w:val="Compact"/>
              <w:jc w:val="left"/>
            </w:pPr>
            <w:r>
              <w:t xml:space="preserve">Launch &amp; Digital Campaigns</w:t>
            </w:r>
          </w:p>
        </w:tc>
        <w:tc>
          <w:tcPr/>
          <w:p>
            <w:pPr>
              <w:pStyle w:val="Compact"/>
              <w:jc w:val="left"/>
            </w:pPr>
            <w:r>
              <w:t xml:space="preserve">Months 4–12</w:t>
            </w:r>
          </w:p>
        </w:tc>
        <w:tc>
          <w:tcPr/>
          <w:p>
            <w:pPr>
              <w:pStyle w:val="Compact"/>
              <w:jc w:val="left"/>
            </w:pPr>
            <w:r>
              <w:t xml:space="preserve">- 30% increase in qualified applications vs. prior year</w:t>
            </w:r>
            <w:r>
              <w:br/>
            </w:r>
            <w:r>
              <w:t xml:space="preserve">- 70% engagement rate on Kuwait City-focused social ads</w:t>
            </w:r>
          </w:p>
        </w:tc>
      </w:tr>
      <w:tr>
        <w:tc>
          <w:tcPr/>
          <w:p>
            <w:pPr>
              <w:pStyle w:val="Compact"/>
              <w:jc w:val="left"/>
            </w:pPr>
            <w:r>
              <w:t xml:space="preserve">Partnership Activation &amp; Onboarding</w:t>
            </w:r>
          </w:p>
        </w:tc>
        <w:tc>
          <w:tcPr/>
          <w:p>
            <w:pPr>
              <w:pStyle w:val="Compact"/>
              <w:jc w:val="left"/>
            </w:pPr>
            <w:r>
              <w:t xml:space="preserve">Months 13–18</w:t>
            </w:r>
          </w:p>
        </w:tc>
        <w:tc>
          <w:tcPr/>
          <w:p>
            <w:pPr>
              <w:pStyle w:val="Compact"/>
              <w:jc w:val="left"/>
            </w:pPr>
            <w:r>
              <w:t xml:space="preserve">- 50+ teacher placements in Kuwait City schools</w:t>
            </w:r>
            <w:r>
              <w:br/>
            </w:r>
            <w:r>
              <w:t xml:space="preserve">- 90% satisfaction rate in post-arrival cultural support surveys</w:t>
            </w:r>
          </w:p>
        </w:tc>
      </w:tr>
    </w:tbl>
    <w:bookmarkEnd w:id="27"/>
    <w:bookmarkStart w:id="28" w:name="Xa0ceea085a030be12d08df9fb7e453bfd0ca4eb"/>
    <w:p>
      <w:pPr>
        <w:pStyle w:val="Heading2"/>
      </w:pPr>
      <w:r>
        <w:t xml:space="preserve">Why This Plan Works for Teacher Secondary Recruitment in Kuwait City</w:t>
      </w:r>
    </w:p>
    <w:p>
      <w:pPr>
        <w:pStyle w:val="FirstParagraph"/>
      </w:pPr>
      <w:r>
        <w:t xml:space="preserve">This Marketing Plan transcends generic job posting by centering every element on the unique intersection of secondary education and Kuwait City’s identity. It recognizes that teachers seeking roles in the Gulf prioritize more than salary—they seek purposeful placement within a vibrant, historically rich city. By emphasizing cultural compatibility (e.g., “Teach in a school where students celebrate Eid with traditional poetry alongside STEM labs”), we directly address unspoken anxieties about relocation. Moreover, aligning recruitment with Kuwait’s national vision positions the initiative as part of an elevated educational ecosystem—not just another teaching job. The plan ensures that every candidate interaction underscores how “Teacher Secondary” roles in Kuwait City deliver professional fulfillment, cultural discovery, and career advancement unlike any other Gulf location.</w:t>
      </w:r>
    </w:p>
    <w:bookmarkEnd w:id="28"/>
    <w:bookmarkStart w:id="29" w:name="conclusion"/>
    <w:p>
      <w:pPr>
        <w:pStyle w:val="Heading2"/>
      </w:pPr>
      <w:r>
        <w:t xml:space="preserve">Conclusion</w:t>
      </w:r>
    </w:p>
    <w:p>
      <w:pPr>
        <w:pStyle w:val="FirstParagraph"/>
      </w:pPr>
      <w:r>
        <w:t xml:space="preserve">The demand for secondary school teachers in Kuwait City is not a vacancy—it’s an opportunity to shape the future of education while offering educators a life enriched by the Gulf’s heritage. This Marketing Plan delivers a data-driven, culturally intelligent strategy that transforms “Teacher Secondary” into a compelling career narrative. By embedding Kuwait City as both location and value driver, we will attract top-tier educators who see beyond employment to meaningful contribution within one of the world’s most dynamic educational landscapes.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Secondary School Teachers for Kuwait City</dc:title>
  <dc:creator/>
  <dc:language>en</dc:language>
  <cp:keywords/>
  <dcterms:created xsi:type="dcterms:W3CDTF">2026-06-02T17:00:23Z</dcterms:created>
  <dcterms:modified xsi:type="dcterms:W3CDTF">2026-06-02T17:00:23Z</dcterms:modified>
</cp:coreProperties>
</file>

<file path=docProps/custom.xml><?xml version="1.0" encoding="utf-8"?>
<Properties xmlns="http://schemas.openxmlformats.org/officeDocument/2006/custom-properties" xmlns:vt="http://schemas.openxmlformats.org/officeDocument/2006/docPropsVTypes"/>
</file>