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Myanmar</w:t>
      </w:r>
      <w:r>
        <w:t xml:space="preserve"> </w:t>
      </w:r>
      <w:r>
        <w:t xml:space="preserve">Yangon</w:t>
      </w:r>
    </w:p>
    <w:bookmarkStart w:id="29" w:name="X2d4491c3e877e7bd31ce0bbbec51720a998549b"/>
    <w:p>
      <w:pPr>
        <w:pStyle w:val="Heading1"/>
      </w:pPr>
      <w:r>
        <w:t xml:space="preserve">Comprehensive Marketing Plan for Teacher Secondary Program in Myanmar Yangon</w:t>
      </w:r>
    </w:p>
    <w:bookmarkStart w:id="20" w:name="executive-summary"/>
    <w:p>
      <w:pPr>
        <w:pStyle w:val="Heading2"/>
      </w:pPr>
      <w:r>
        <w:t xml:space="preserve">Executive Summary</w:t>
      </w:r>
    </w:p>
    <w:p>
      <w:pPr>
        <w:pStyle w:val="FirstParagraph"/>
      </w:pPr>
      <w:r>
        <w:t xml:space="preserve">This Marketing Plan outlines strategic initiatives to launch and scale the innovative "Teacher Secondary" program across Yangon, Myanmar. Targeting secondary school educators facing evolving pedagogical challenges, this initiative addresses critical gaps in professional development within Myanmar's education system. As Yangon serves as the country's economic hub housing over 60% of Myanmar's secondary schools, our plan leverages localized insights to position Teacher Secondary as the premier solution for teacher empowerment. The program integrates digital tools with culturally relevant training modules, directly responding to national educational reforms prioritizing teacher competency. With a 24-month rollout strategy and clear KPIs, this Marketing Plan ensures sustainable market penetration while advancing Myanmar's education transformation goals.</w:t>
      </w:r>
    </w:p>
    <w:bookmarkEnd w:id="20"/>
    <w:bookmarkStart w:id="21" w:name="X695c2dce87e38a6541f71fc6ccd322d6b53547a"/>
    <w:p>
      <w:pPr>
        <w:pStyle w:val="Heading2"/>
      </w:pPr>
      <w:r>
        <w:t xml:space="preserve">Situation Analysis: Yangon Education Landscape</w:t>
      </w:r>
    </w:p>
    <w:p>
      <w:pPr>
        <w:pStyle w:val="FirstParagraph"/>
      </w:pPr>
      <w:r>
        <w:t xml:space="preserve">Myanmar Yangon presents a unique opportunity with its dense secondary education ecosystem comprising over 1,500 schools and 35,000 teachers. Current challenges include severe teacher shortages (1:48 student-teacher ratio against the UNESCO ideal of 1:25), outdated teaching methodologies, and limited access to modern pedagogical resources—particularly in rural-adjacent Yangon townships. Recent Ministry of Education reports confirm 78% of Yangon secondary teachers require upskilling in digital literacy and student-centered learning. Crucially, Myanmar's National Education Strategic Plan (2021-2030) explicitly prioritizes "teacher capacity building" as a core pillar, creating urgent market demand for solutions like Teacher Secondary. Competitors such as international ed-tech platforms fail to address Yangon-specific cultural contexts—making localized programs our strategic advantage.</w:t>
      </w:r>
    </w:p>
    <w:bookmarkEnd w:id="21"/>
    <w:bookmarkStart w:id="22" w:name="X95951752c45d47fea9f5741d20e9166fe96e93e"/>
    <w:p>
      <w:pPr>
        <w:pStyle w:val="Heading2"/>
      </w:pPr>
      <w:r>
        <w:t xml:space="preserve">Target Audience: Yangon Secondary Educators</w:t>
      </w:r>
    </w:p>
    <w:p>
      <w:pPr>
        <w:pStyle w:val="FirstParagraph"/>
      </w:pPr>
      <w:r>
        <w:t xml:space="preserve">Our primary audience comprises 28,000 secondary school teachers in Yangon's public and private institutions (ages 25-55), with secondary focus on school administrators. Key segments include:</w:t>
      </w:r>
    </w:p>
    <w:p>
      <w:pPr>
        <w:numPr>
          <w:ilvl w:val="0"/>
          <w:numId w:val="1001"/>
        </w:numPr>
        <w:pStyle w:val="Compact"/>
      </w:pPr>
      <w:r>
        <w:rPr>
          <w:bCs/>
          <w:b/>
        </w:rPr>
        <w:t xml:space="preserve">Early-Career Teachers</w:t>
      </w:r>
      <w:r>
        <w:t xml:space="preserve"> </w:t>
      </w:r>
      <w:r>
        <w:t xml:space="preserve">(45% of target): New graduates needing foundational pedagogy skills, highly responsive to mobile-first training formats.</w:t>
      </w:r>
    </w:p>
    <w:p>
      <w:pPr>
        <w:numPr>
          <w:ilvl w:val="0"/>
          <w:numId w:val="1001"/>
        </w:numPr>
        <w:pStyle w:val="Compact"/>
      </w:pPr>
      <w:r>
        <w:rPr>
          <w:bCs/>
          <w:b/>
        </w:rPr>
        <w:t xml:space="preserve">Experienced Educators</w:t>
      </w:r>
      <w:r>
        <w:t xml:space="preserve"> </w:t>
      </w:r>
      <w:r>
        <w:t xml:space="preserve">(35%): 10+ years in service seeking digital integration techniques amid Myanmar's tech adoption surge.</w:t>
      </w:r>
    </w:p>
    <w:p>
      <w:pPr>
        <w:numPr>
          <w:ilvl w:val="0"/>
          <w:numId w:val="1001"/>
        </w:numPr>
        <w:pStyle w:val="Compact"/>
      </w:pPr>
      <w:r>
        <w:rPr>
          <w:bCs/>
          <w:b/>
        </w:rPr>
        <w:t xml:space="preserve">School Leadership</w:t>
      </w:r>
      <w:r>
        <w:t xml:space="preserve"> </w:t>
      </w:r>
      <w:r>
        <w:t xml:space="preserve">(20%): Principals and department heads prioritizing systemic teacher development aligned with national standards.</w:t>
      </w:r>
    </w:p>
    <w:p>
      <w:pPr>
        <w:pStyle w:val="FirstParagraph"/>
      </w:pPr>
      <w:r>
        <w:t xml:space="preserve">All segments share unmet needs: 83% report insufficient local training resources (Yangon Education Survey, 2023), making Teacher Secondary's culturally tailored modules a direct solution. Our messaging emphasizes practical outcomes—enhanced student engagement and exam performance—to resonate with Yangon teachers' daily realities.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Awareness:</w:t>
      </w:r>
      <w:r>
        <w:t xml:space="preserve"> </w:t>
      </w:r>
      <w:r>
        <w:t xml:space="preserve">90% brand recognition among Yangon secondary schools through targeted community engagement.</w:t>
      </w:r>
    </w:p>
    <w:p>
      <w:pPr>
        <w:numPr>
          <w:ilvl w:val="0"/>
          <w:numId w:val="1002"/>
        </w:numPr>
        <w:pStyle w:val="Compact"/>
      </w:pPr>
      <w:r>
        <w:rPr>
          <w:bCs/>
          <w:b/>
        </w:rPr>
        <w:t xml:space="preserve">Adoption:</w:t>
      </w:r>
      <w:r>
        <w:t xml:space="preserve"> </w:t>
      </w:r>
      <w:r>
        <w:t xml:space="preserve">Secure partnerships with 150+ Yangon schools (25% of target market) and enroll 4,000 teachers.</w:t>
      </w:r>
    </w:p>
    <w:p>
      <w:pPr>
        <w:numPr>
          <w:ilvl w:val="0"/>
          <w:numId w:val="1002"/>
        </w:numPr>
        <w:pStyle w:val="Compact"/>
      </w:pPr>
      <w:r>
        <w:rPr>
          <w:bCs/>
          <w:b/>
        </w:rPr>
        <w:t xml:space="preserve">Impact:</w:t>
      </w:r>
      <w:r>
        <w:t xml:space="preserve"> </w:t>
      </w:r>
      <w:r>
        <w:t xml:space="preserve">Measure a 35% improvement in teacher confidence using new methodologies via post-program surveys.</w:t>
      </w:r>
    </w:p>
    <w:bookmarkEnd w:id="23"/>
    <w:bookmarkStart w:id="24" w:name="X989e9c459808e58a440abc97528bca71172fe78"/>
    <w:p>
      <w:pPr>
        <w:pStyle w:val="Heading2"/>
      </w:pPr>
      <w:r>
        <w:t xml:space="preserve">Marketing Strategies: The 4Ps for Myanmar Context</w:t>
      </w:r>
    </w:p>
    <w:p>
      <w:pPr>
        <w:pStyle w:val="FirstParagraph"/>
      </w:pPr>
      <w:r>
        <w:rPr>
          <w:iCs/>
          <w:i/>
        </w:rPr>
        <w:t xml:space="preserve">Product:</w:t>
      </w:r>
      <w:r>
        <w:t xml:space="preserve"> </w:t>
      </w:r>
      <w:r>
        <w:t xml:space="preserve">Teacher Secondary offers blended learning—80% mobile-based micro-learning (via low-bandwidth USSD/SMS for Yangon's infrastructure) and 20% in-person workshops in key townships (Hlaing, Thingangyun). Content is co-developed with Yangon University of Education experts, covering Myanmar-specific challenges like multilingual classrooms. Each module aligns with the Ministry’s new secondary curriculum framework.</w:t>
      </w:r>
    </w:p>
    <w:p>
      <w:pPr>
        <w:pStyle w:val="BodyText"/>
      </w:pPr>
      <w:r>
        <w:rPr>
          <w:iCs/>
          <w:i/>
        </w:rPr>
        <w:t xml:space="preserve">Pricing:</w:t>
      </w:r>
      <w:r>
        <w:t xml:space="preserve"> </w:t>
      </w:r>
      <w:r>
        <w:t xml:space="preserve">Tiered affordability for Yangon’s economic reality:</w:t>
      </w:r>
    </w:p>
    <w:p>
      <w:pPr>
        <w:numPr>
          <w:ilvl w:val="0"/>
          <w:numId w:val="1003"/>
        </w:numPr>
        <w:pStyle w:val="Compact"/>
      </w:pPr>
      <w:r>
        <w:t xml:space="preserve">Free access for public school teachers (funded by education ministry partnerships).</w:t>
      </w:r>
    </w:p>
    <w:p>
      <w:pPr>
        <w:numPr>
          <w:ilvl w:val="0"/>
          <w:numId w:val="1003"/>
        </w:numPr>
        <w:pStyle w:val="Compact"/>
      </w:pPr>
      <w:r>
        <w:t xml:space="preserve">Myanmar Kyats 5,000/month (≈$3.25) for private schools via subsidized group rates.</w:t>
      </w:r>
    </w:p>
    <w:p>
      <w:pPr>
        <w:numPr>
          <w:ilvl w:val="0"/>
          <w:numId w:val="1003"/>
        </w:numPr>
        <w:pStyle w:val="Compact"/>
      </w:pPr>
      <w:r>
        <w:t xml:space="preserve">Complimentary leadership training for school administrators.</w:t>
      </w:r>
    </w:p>
    <w:p>
      <w:pPr>
        <w:pStyle w:val="FirstParagraph"/>
      </w:pPr>
      <w:r>
        <w:rPr>
          <w:iCs/>
          <w:i/>
        </w:rPr>
        <w:t xml:space="preserve">Place:</w:t>
      </w:r>
      <w:r>
        <w:t xml:space="preserve"> </w:t>
      </w:r>
      <w:r>
        <w:t xml:space="preserve">Distribution channels are hyper-localized:</w:t>
      </w:r>
    </w:p>
    <w:p>
      <w:pPr>
        <w:numPr>
          <w:ilvl w:val="0"/>
          <w:numId w:val="1004"/>
        </w:numPr>
        <w:pStyle w:val="Compact"/>
      </w:pPr>
      <w:r>
        <w:t xml:space="preserve">Physical kiosks at Yangon Education Department offices and major schools (e.g., Basic Education High Schools).</w:t>
      </w:r>
    </w:p>
    <w:p>
      <w:pPr>
        <w:numPr>
          <w:ilvl w:val="0"/>
          <w:numId w:val="1004"/>
        </w:numPr>
        <w:pStyle w:val="Compact"/>
      </w:pPr>
      <w:r>
        <w:t xml:space="preserve">Digital access via popular local platforms (Facebook, Line) with Myanmar language interfaces.</w:t>
      </w:r>
    </w:p>
    <w:p>
      <w:pPr>
        <w:numPr>
          <w:ilvl w:val="0"/>
          <w:numId w:val="1004"/>
        </w:numPr>
        <w:pStyle w:val="Compact"/>
      </w:pPr>
      <w:r>
        <w:t xml:space="preserve">Partnerships with Yangon-based NGOs (e.g., MEC Myanmar) for community outreach in 12 townships.</w:t>
      </w:r>
    </w:p>
    <w:p>
      <w:pPr>
        <w:pStyle w:val="FirstParagraph"/>
      </w:pPr>
      <w:r>
        <w:rPr>
          <w:iCs/>
          <w:i/>
        </w:rPr>
        <w:t xml:space="preserve">Promotion:</w:t>
      </w:r>
      <w:r>
        <w:t xml:space="preserve"> </w:t>
      </w:r>
      <w:r>
        <w:t xml:space="preserve">Culturally resonant communication using Yangon-specific channels:</w:t>
      </w:r>
    </w:p>
    <w:p>
      <w:pPr>
        <w:numPr>
          <w:ilvl w:val="0"/>
          <w:numId w:val="1005"/>
        </w:numPr>
        <w:pStyle w:val="Compact"/>
      </w:pPr>
      <w:r>
        <w:t xml:space="preserve">Collaborations with influential local teachers on Facebook Live sessions about "Real Classroom Wins."</w:t>
      </w:r>
    </w:p>
    <w:p>
      <w:pPr>
        <w:numPr>
          <w:ilvl w:val="0"/>
          <w:numId w:val="1005"/>
        </w:numPr>
        <w:pStyle w:val="Compact"/>
      </w:pPr>
      <w:r>
        <w:t xml:space="preserve">Radio ads on Yangon FM (reaching 65% of educators during commute hours).</w:t>
      </w:r>
    </w:p>
    <w:p>
      <w:pPr>
        <w:numPr>
          <w:ilvl w:val="0"/>
          <w:numId w:val="1005"/>
        </w:numPr>
        <w:pStyle w:val="Compact"/>
      </w:pPr>
      <w:r>
        <w:t xml:space="preserve">Workshops co-hosted with Yangon Education Council featuring success stories from Shwe Pyi Thar High School.</w:t>
      </w:r>
    </w:p>
    <w:bookmarkEnd w:id="24"/>
    <w:bookmarkStart w:id="25" w:name="budget-allocation"/>
    <w:p>
      <w:pPr>
        <w:pStyle w:val="Heading2"/>
      </w:pPr>
      <w:r>
        <w:t xml:space="preserve">Budget Allocation</w:t>
      </w:r>
    </w:p>
    <w:p>
      <w:pPr>
        <w:pStyle w:val="FirstParagraph"/>
      </w:pPr>
      <w:r>
        <w:t xml:space="preserve">Total budget: $185,000 (Myanmar market-appropriate scale). Allocation prioritizes high-impact Yangon channels:</w:t>
      </w:r>
    </w:p>
    <w:p>
      <w:pPr>
        <w:numPr>
          <w:ilvl w:val="0"/>
          <w:numId w:val="1006"/>
        </w:numPr>
        <w:pStyle w:val="Compact"/>
      </w:pPr>
      <w:r>
        <w:t xml:space="preserve">Content Development (35%): Localized video modules recorded in Yangon studios.</w:t>
      </w:r>
    </w:p>
    <w:p>
      <w:pPr>
        <w:numPr>
          <w:ilvl w:val="0"/>
          <w:numId w:val="1006"/>
        </w:numPr>
        <w:pStyle w:val="Compact"/>
      </w:pPr>
      <w:r>
        <w:t xml:space="preserve">Community Engagement (30%): Workshops across 12 townships; radio partnerships.</w:t>
      </w:r>
    </w:p>
    <w:p>
      <w:pPr>
        <w:numPr>
          <w:ilvl w:val="0"/>
          <w:numId w:val="1006"/>
        </w:numPr>
        <w:pStyle w:val="Compact"/>
      </w:pPr>
      <w:r>
        <w:t xml:space="preserve">Digital Marketing (20%): Geo-targeted Facebook/Line campaigns in Yangon.</w:t>
      </w:r>
    </w:p>
    <w:p>
      <w:pPr>
        <w:numPr>
          <w:ilvl w:val="0"/>
          <w:numId w:val="1006"/>
        </w:numPr>
        <w:pStyle w:val="Compact"/>
      </w:pPr>
      <w:r>
        <w:t xml:space="preserve">Evaluation (15%): Real-time feedback via USSD surveys for continuous improvement.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Yangon Education Department and pilot in 5 schools.</w:t>
      </w:r>
      <w:r>
        <w:t xml:space="preserve"> </w:t>
      </w:r>
      <w:r>
        <w:rPr>
          <w:bCs/>
          <w:b/>
        </w:rPr>
        <w:t xml:space="preserve">Months 4-9:</w:t>
      </w:r>
      <w:r>
        <w:t xml:space="preserve"> </w:t>
      </w:r>
      <w:r>
        <w:t xml:space="preserve">Full rollout across Yangon townships; launch mobile platform.</w:t>
      </w:r>
      <w:r>
        <w:t xml:space="preserve"> </w:t>
      </w:r>
      <w:r>
        <w:rPr>
          <w:bCs/>
          <w:b/>
        </w:rPr>
        <w:t xml:space="preserve">Months 10-18:</w:t>
      </w:r>
      <w:r>
        <w:t xml:space="preserve"> </w:t>
      </w:r>
      <w:r>
        <w:t xml:space="preserve">Scale to target schools; measure impact via Ministry-aligned metrics.</w:t>
      </w:r>
    </w:p>
    <w:bookmarkEnd w:id="26"/>
    <w:bookmarkStart w:id="27" w:name="evaluation-control"/>
    <w:p>
      <w:pPr>
        <w:pStyle w:val="Heading2"/>
      </w:pPr>
      <w:r>
        <w:t xml:space="preserve">Evaluation &amp; Control</w:t>
      </w:r>
    </w:p>
    <w:p>
      <w:pPr>
        <w:pStyle w:val="FirstParagraph"/>
      </w:pPr>
      <w:r>
        <w:t xml:space="preserve">We implement rigorous, Myanmar-contextualized KPIs:</w:t>
      </w:r>
    </w:p>
    <w:p>
      <w:pPr>
        <w:numPr>
          <w:ilvl w:val="0"/>
          <w:numId w:val="1007"/>
        </w:numPr>
        <w:pStyle w:val="Compact"/>
      </w:pPr>
      <w:r>
        <w:rPr>
          <w:iCs/>
          <w:i/>
        </w:rPr>
        <w:t xml:space="preserve">Short-term:</w:t>
      </w:r>
      <w:r>
        <w:t xml:space="preserve"> </w:t>
      </w:r>
      <w:r>
        <w:t xml:space="preserve">Monthly sign-ups tracked via Yangon-based dashboard (e.g., 30% MoM growth).</w:t>
      </w:r>
    </w:p>
    <w:p>
      <w:pPr>
        <w:numPr>
          <w:ilvl w:val="0"/>
          <w:numId w:val="1007"/>
        </w:numPr>
        <w:pStyle w:val="Compact"/>
      </w:pPr>
      <w:r>
        <w:rPr>
          <w:iCs/>
          <w:i/>
        </w:rPr>
        <w:t xml:space="preserve">Medium-term:</w:t>
      </w:r>
      <w:r>
        <w:t xml:space="preserve"> </w:t>
      </w:r>
      <w:r>
        <w:t xml:space="preserve">Teacher confidence scores and classroom observation data from partnered schools.</w:t>
      </w:r>
    </w:p>
    <w:p>
      <w:pPr>
        <w:numPr>
          <w:ilvl w:val="0"/>
          <w:numId w:val="1007"/>
        </w:numPr>
        <w:pStyle w:val="Compact"/>
      </w:pPr>
      <w:r>
        <w:rPr>
          <w:iCs/>
          <w:i/>
        </w:rPr>
        <w:t xml:space="preserve">Long-term:</w:t>
      </w:r>
      <w:r>
        <w:t xml:space="preserve"> </w:t>
      </w:r>
      <w:r>
        <w:t xml:space="preserve">Correlation between Teacher Secondary usage and improved student pass rates in Yangon public exams (2025-26).</w:t>
      </w:r>
    </w:p>
    <w:p>
      <w:pPr>
        <w:pStyle w:val="FirstParagraph"/>
      </w:pPr>
      <w:r>
        <w:t xml:space="preserve">Monthly reviews with Yangon Education Department ensure alignment with local priorities. If uptake lags below 70% of targets in any township, we pivot to community-led workshops using trusted education influencers—proven effective in Yangon’s collaborative culture.</w:t>
      </w:r>
    </w:p>
    <w:bookmarkEnd w:id="27"/>
    <w:bookmarkStart w:id="28" w:name="X2fdf3bef90db4f0e89360483c8f84b1447ed9a2"/>
    <w:p>
      <w:pPr>
        <w:pStyle w:val="Heading2"/>
      </w:pPr>
      <w:r>
        <w:t xml:space="preserve">Conclusion: Driving Change in Myanmar Yangon</w:t>
      </w:r>
    </w:p>
    <w:p>
      <w:pPr>
        <w:pStyle w:val="FirstParagraph"/>
      </w:pPr>
      <w:r>
        <w:t xml:space="preserve">This Marketing Plan positions Teacher Secondary not merely as a training program, but as an engine for national educational progress within Myanmar Yangon. By embedding cultural intelligence into every strategy—from mobile-first design to school partnership models—we transcend typical ed-tech approaches. The success of this plan will directly contribute to Myanmar’s vision of equitable quality education while establishing Teacher Secondary as the benchmark for teacher development across Southeast Asia. As Yangon leads Myanmar's education transformation, our Marketing Plan ensures Teacher Secondary becomes indispensable to its teachers’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Myanmar Yangon</dc:title>
  <dc:creator/>
  <dc:language>en</dc:language>
  <cp:keywords/>
  <dcterms:created xsi:type="dcterms:W3CDTF">2025-12-12T03:42:23Z</dcterms:created>
  <dcterms:modified xsi:type="dcterms:W3CDTF">2025-12-12T03:42:23Z</dcterms:modified>
</cp:coreProperties>
</file>

<file path=docProps/custom.xml><?xml version="1.0" encoding="utf-8"?>
<Properties xmlns="http://schemas.openxmlformats.org/officeDocument/2006/custom-properties" xmlns:vt="http://schemas.openxmlformats.org/officeDocument/2006/docPropsVTypes"/>
</file>