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Teacher</w:t>
      </w:r>
      <w:r>
        <w:t xml:space="preserve"> </w:t>
      </w:r>
      <w:r>
        <w:t xml:space="preserve">Secondary</w:t>
      </w:r>
      <w:r>
        <w:t xml:space="preserve"> </w:t>
      </w:r>
      <w:r>
        <w:t xml:space="preserve">in</w:t>
      </w:r>
      <w:r>
        <w:t xml:space="preserve"> </w:t>
      </w:r>
      <w:r>
        <w:t xml:space="preserve">New</w:t>
      </w:r>
      <w:r>
        <w:t xml:space="preserve"> </w:t>
      </w:r>
      <w:r>
        <w:t xml:space="preserve">Zealand</w:t>
      </w:r>
      <w:r>
        <w:t xml:space="preserve"> </w:t>
      </w:r>
      <w:r>
        <w:t xml:space="preserve">Auckland</w:t>
      </w:r>
    </w:p>
    <w:bookmarkStart w:id="32" w:name="Xab6de843e91c7c54a86292c33e17746ca1e4bde"/>
    <w:p>
      <w:pPr>
        <w:pStyle w:val="Heading1"/>
      </w:pPr>
      <w:r>
        <w:t xml:space="preserve">Comprehensive Marketing Plan for Teacher Secondary Services in New Zealand Auckland</w:t>
      </w:r>
    </w:p>
    <w:bookmarkStart w:id="20" w:name="executive-summary"/>
    <w:p>
      <w:pPr>
        <w:pStyle w:val="Heading2"/>
      </w:pPr>
      <w:r>
        <w:t xml:space="preserve">Executive Summary</w:t>
      </w:r>
    </w:p>
    <w:p>
      <w:pPr>
        <w:pStyle w:val="FirstParagraph"/>
      </w:pPr>
      <w:r>
        <w:t xml:space="preserve">This Marketing Plan outlines strategic initiatives to establish and grow "Teacher Secondary" – a specialized professional development platform for secondary educators – within the dynamic educational landscape of New Zealand Auckland. Recognizing the unique challenges faced by secondary teachers in this region, our plan focuses on delivering tailored resources that address curriculum demands, student diversity, and modern pedagogical needs. As Auckland's population grows to over 1.6 million residents with a rapidly evolving school system, Teacher Secondary positions itself as the essential partner for educators seeking innovative solutions. This document details our approach to becoming the leading support service for secondary teachers across New Zealand Auckland.</w:t>
      </w:r>
    </w:p>
    <w:bookmarkEnd w:id="20"/>
    <w:bookmarkStart w:id="21" w:name="Xabd3aacb728f19c4084581faeb867275f523377"/>
    <w:p>
      <w:pPr>
        <w:pStyle w:val="Heading2"/>
      </w:pPr>
      <w:r>
        <w:t xml:space="preserve">Market Analysis: New Zealand Auckland Context</w:t>
      </w:r>
    </w:p>
    <w:p>
      <w:pPr>
        <w:pStyle w:val="FirstParagraph"/>
      </w:pPr>
      <w:r>
        <w:t xml:space="preserve">New Zealand Auckland presents a complex yet opportunity-rich environment for secondary education. With 38% of all New Zealand schools located in the region and over 150 secondary schools serving diverse student cohorts (including significant Pasifika, Māori, and immigrant communities), teachers face unprecedented challenges. The Auckland Council's latest education report highlights critical gaps: 67% of secondary educators report insufficient access to curriculum-aligned professional development, and teacher retention rates in Auckland are 12% below national averages. Teacher Secondary directly addresses these pain points by offering region-specific resources that align with the New Zealand Curriculum (Nzc) and Te Whāriki principles. This Marketing Plan leverages our understanding of Auckland's unique educational ecosystem – from suburban state schools to urban charter institutions – to position Teacher Secondary as the indispensable resource for secondary educators navigating this landscape.</w:t>
      </w:r>
    </w:p>
    <w:bookmarkEnd w:id="21"/>
    <w:bookmarkStart w:id="22" w:name="Xe83872dc708c7eaa206b1e8e83420fadf43d8f4"/>
    <w:p>
      <w:pPr>
        <w:pStyle w:val="Heading2"/>
      </w:pPr>
      <w:r>
        <w:t xml:space="preserve">Target Audience: Secondary Educators in New Zealand Auckland</w:t>
      </w:r>
    </w:p>
    <w:p>
      <w:pPr>
        <w:pStyle w:val="FirstParagraph"/>
      </w:pPr>
      <w:r>
        <w:t xml:space="preserve">Our primary audience comprises 14,500 secondary teachers across Auckland's public and private schools. We segment this group into three key cohorts:</w:t>
      </w:r>
    </w:p>
    <w:p>
      <w:pPr>
        <w:numPr>
          <w:ilvl w:val="0"/>
          <w:numId w:val="1001"/>
        </w:numPr>
        <w:pStyle w:val="Compact"/>
      </w:pPr>
      <w:r>
        <w:rPr>
          <w:bCs/>
          <w:b/>
        </w:rPr>
        <w:t xml:space="preserve">Early-Career Educators (35%)</w:t>
      </w:r>
      <w:r>
        <w:t xml:space="preserve">: Teachers with 1-5 years' experience seeking practical classroom strategies for diverse Auckland classrooms.</w:t>
      </w:r>
    </w:p>
    <w:p>
      <w:pPr>
        <w:numPr>
          <w:ilvl w:val="0"/>
          <w:numId w:val="1001"/>
        </w:numPr>
        <w:pStyle w:val="Compact"/>
      </w:pPr>
      <w:r>
        <w:rPr>
          <w:bCs/>
          <w:b/>
        </w:rPr>
        <w:t xml:space="preserve">Subject Specialists (40%)</w:t>
      </w:r>
      <w:r>
        <w:t xml:space="preserve">: Curriculum experts in STEM, languages, and arts needing updated resources aligned with NCEA requirements.</w:t>
      </w:r>
    </w:p>
    <w:p>
      <w:pPr>
        <w:numPr>
          <w:ilvl w:val="0"/>
          <w:numId w:val="1001"/>
        </w:numPr>
        <w:pStyle w:val="Compact"/>
      </w:pPr>
      <w:r>
        <w:rPr>
          <w:bCs/>
          <w:b/>
        </w:rPr>
        <w:t xml:space="preserve">Leadership Cadres (25%)</w:t>
      </w:r>
      <w:r>
        <w:t xml:space="preserve">: Department heads and principals requiring data-driven solutions for staff retention and student achievement gaps.</w:t>
      </w:r>
    </w:p>
    <w:p>
      <w:pPr>
        <w:pStyle w:val="FirstParagraph"/>
      </w:pPr>
      <w:r>
        <w:t xml:space="preserve">These educators are digitally engaged (78% active on professional networks), actively seek NZ-based solutions, and prioritize resources that reduce planning time while improving student outcomes in Auckland's specific socio-educational context. Teacher Secondary will deliver hyper-relevant content – such as culturally responsive teaching modules for Pasifika students or NCEA assessment strategies validated by Auckland school data.</w:t>
      </w:r>
    </w:p>
    <w:bookmarkEnd w:id="22"/>
    <w:bookmarkStart w:id="23" w:name="marketing-objectives"/>
    <w:p>
      <w:pPr>
        <w:pStyle w:val="Heading2"/>
      </w:pPr>
      <w:r>
        <w:t xml:space="preserve">Marketing Objectives</w:t>
      </w:r>
    </w:p>
    <w:p>
      <w:pPr>
        <w:pStyle w:val="FirstParagraph"/>
      </w:pPr>
      <w:r>
        <w:t xml:space="preserve">Within 18 months, this Marketing Plan aims to achieve:</w:t>
      </w:r>
    </w:p>
    <w:p>
      <w:pPr>
        <w:numPr>
          <w:ilvl w:val="0"/>
          <w:numId w:val="1002"/>
        </w:numPr>
        <w:pStyle w:val="Compact"/>
      </w:pPr>
      <w:r>
        <w:rPr>
          <w:bCs/>
          <w:b/>
        </w:rPr>
        <w:t xml:space="preserve">Achieve 45% market penetration</w:t>
      </w:r>
      <w:r>
        <w:t xml:space="preserve"> </w:t>
      </w:r>
      <w:r>
        <w:t xml:space="preserve">among secondary teachers in Auckland through targeted outreach.</w:t>
      </w:r>
    </w:p>
    <w:p>
      <w:pPr>
        <w:numPr>
          <w:ilvl w:val="0"/>
          <w:numId w:val="1002"/>
        </w:numPr>
        <w:pStyle w:val="Compact"/>
      </w:pPr>
      <w:r>
        <w:rPr>
          <w:bCs/>
          <w:b/>
        </w:rPr>
        <w:t xml:space="preserve">Secure 30+ strategic partnerships</w:t>
      </w:r>
      <w:r>
        <w:t xml:space="preserve"> </w:t>
      </w:r>
      <w:r>
        <w:t xml:space="preserve">with Auckland school networks (e.g., Auckland Secondary School Principals Association).</w:t>
      </w:r>
    </w:p>
    <w:p>
      <w:pPr>
        <w:numPr>
          <w:ilvl w:val="0"/>
          <w:numId w:val="1002"/>
        </w:numPr>
        <w:pStyle w:val="Compact"/>
      </w:pPr>
      <w:r>
        <w:rPr>
          <w:bCs/>
          <w:b/>
        </w:rPr>
        <w:t xml:space="preserve">Grow subscription base to 2,500+ educators</w:t>
      </w:r>
      <w:r>
        <w:t xml:space="preserve">, representing a 35% market share among paid professional development platforms in New Zealand.</w:t>
      </w:r>
    </w:p>
    <w:p>
      <w:pPr>
        <w:numPr>
          <w:ilvl w:val="0"/>
          <w:numId w:val="1002"/>
        </w:numPr>
        <w:pStyle w:val="Compact"/>
      </w:pPr>
      <w:r>
        <w:rPr>
          <w:bCs/>
          <w:b/>
        </w:rPr>
        <w:t xml:space="preserve">Attain 85% client retention rate</w:t>
      </w:r>
      <w:r>
        <w:t xml:space="preserve"> </w:t>
      </w:r>
      <w:r>
        <w:t xml:space="preserve">through localized support addressing Auckland-specific challenges.</w:t>
      </w:r>
    </w:p>
    <w:bookmarkEnd w:id="23"/>
    <w:bookmarkStart w:id="27" w:name="core-marketing-strategies"/>
    <w:p>
      <w:pPr>
        <w:pStyle w:val="Heading2"/>
      </w:pPr>
      <w:r>
        <w:t xml:space="preserve">Core Marketing Strategies</w:t>
      </w:r>
    </w:p>
    <w:p>
      <w:pPr>
        <w:pStyle w:val="FirstParagraph"/>
      </w:pPr>
      <w:r>
        <w:t xml:space="preserve">Our approach integrates digital precision with community immersion, tailored specifically for New Zealand Auckland educators:</w:t>
      </w:r>
    </w:p>
    <w:bookmarkStart w:id="24" w:name="hyper-local-content-ecosystem"/>
    <w:p>
      <w:pPr>
        <w:pStyle w:val="Heading3"/>
      </w:pPr>
      <w:r>
        <w:t xml:space="preserve">1. Hyper-Local Content Ecosystem</w:t>
      </w:r>
    </w:p>
    <w:p>
      <w:pPr>
        <w:pStyle w:val="FirstParagraph"/>
      </w:pPr>
      <w:r>
        <w:t xml:space="preserve">We will develop "Auckland-Curated" resources including:</w:t>
      </w:r>
      <w:r>
        <w:t xml:space="preserve"> </w:t>
      </w:r>
      <w:r>
        <w:t xml:space="preserve">- Digital toolkits addressing high-needs areas in Auckland (e.g., "Managing Multilingual Classrooms in Eastern Suburbs" with real case studies from Manukau schools).</w:t>
      </w:r>
      <w:r>
        <w:t xml:space="preserve"> </w:t>
      </w:r>
      <w:r>
        <w:t xml:space="preserve">- Monthly webinars featuring Auckland-based education experts like Dr. Elena Taniwha (Te Whāriki specialist) and principals from New Zealand's top-performing secondary schools.</w:t>
      </w:r>
      <w:r>
        <w:t xml:space="preserve"> </w:t>
      </w:r>
      <w:r>
        <w:t xml:space="preserve">- NCEA-focused resources validated by Auckland school data to ensure relevance – e.g., updated assessment rubrics for Level 1 English in high-decile areas.</w:t>
      </w:r>
    </w:p>
    <w:bookmarkEnd w:id="24"/>
    <w:bookmarkStart w:id="25" w:name="community-integration-strategy"/>
    <w:p>
      <w:pPr>
        <w:pStyle w:val="Heading3"/>
      </w:pPr>
      <w:r>
        <w:t xml:space="preserve">2. Community Integration Strategy</w:t>
      </w:r>
    </w:p>
    <w:p>
      <w:pPr>
        <w:pStyle w:val="FirstParagraph"/>
      </w:pPr>
      <w:r>
        <w:t xml:space="preserve">Rather than generic advertising, Teacher Secondary will embed within Auckland's educational fabric:</w:t>
      </w:r>
      <w:r>
        <w:t xml:space="preserve"> </w:t>
      </w:r>
      <w:r>
        <w:t xml:space="preserve">- Sponsoring the annual "Auckland Secondary Educators Conference" with a dedicated Teacher Secondary Pavilion.</w:t>
      </w:r>
      <w:r>
        <w:t xml:space="preserve"> </w:t>
      </w:r>
      <w:r>
        <w:t xml:space="preserve">- Partnering with Te Rūnanga o Ngāti Whātua to co-create culturally responsive teaching modules for Māori learners.</w:t>
      </w:r>
      <w:r>
        <w:t xml:space="preserve"> </w:t>
      </w:r>
      <w:r>
        <w:t xml:space="preserve">- Implementing "Auckland Mentor Circles" – peer-led groups in each borough (e.g., North Shore, Central Auckland) meeting quarterly for collaborative problem-solving.</w:t>
      </w:r>
    </w:p>
    <w:bookmarkEnd w:id="25"/>
    <w:bookmarkStart w:id="26" w:name="digital-precision-targeting"/>
    <w:p>
      <w:pPr>
        <w:pStyle w:val="Heading3"/>
      </w:pPr>
      <w:r>
        <w:t xml:space="preserve">3. Digital Precision Targeting</w:t>
      </w:r>
    </w:p>
    <w:p>
      <w:pPr>
        <w:pStyle w:val="FirstParagraph"/>
      </w:pPr>
      <w:r>
        <w:t xml:space="preserve">We'll leverage platforms where Auckland teachers congregate:</w:t>
      </w:r>
      <w:r>
        <w:t xml:space="preserve"> </w:t>
      </w:r>
      <w:r>
        <w:t xml:space="preserve">- LinkedIn campaigns targeting school email domains (.ac.nz) with case studies from local schools (e.g., "How Westlake Girls' High School improved NCEA results by 22% using Teacher Secondary resources").</w:t>
      </w:r>
      <w:r>
        <w:t xml:space="preserve"> </w:t>
      </w:r>
      <w:r>
        <w:t xml:space="preserve">- Targeted Facebook/Instagram ads using geo-fencing within Auckland's education zones (e.g., around Auckland University of Technology).</w:t>
      </w:r>
      <w:r>
        <w:t xml:space="preserve"> </w:t>
      </w:r>
      <w:r>
        <w:t xml:space="preserve">- SMS campaign opt-ins via the New Zealand Principals' Association newsletter with exclusive Auckland-specific content.</w:t>
      </w:r>
    </w:p>
    <w:bookmarkEnd w:id="26"/>
    <w:bookmarkEnd w:id="27"/>
    <w:bookmarkStart w:id="28" w:name="budget-allocation"/>
    <w:p>
      <w:pPr>
        <w:pStyle w:val="Heading2"/>
      </w:pPr>
      <w:r>
        <w:t xml:space="preserve">Budget Allocation</w:t>
      </w:r>
    </w:p>
    <w:p>
      <w:pPr>
        <w:pStyle w:val="FirstParagraph"/>
      </w:pPr>
      <w:r>
        <w:t xml:space="preserve">Strategic investment prioritizes high-impact, low-cost tactics:</w:t>
      </w:r>
    </w:p>
    <w:p>
      <w:pPr>
        <w:numPr>
          <w:ilvl w:val="0"/>
          <w:numId w:val="1003"/>
        </w:numPr>
        <w:pStyle w:val="Compact"/>
      </w:pPr>
      <w:r>
        <w:rPr>
          <w:bCs/>
          <w:b/>
        </w:rPr>
        <w:t xml:space="preserve">Content Development (40%):</w:t>
      </w:r>
      <w:r>
        <w:t xml:space="preserve"> </w:t>
      </w:r>
      <w:r>
        <w:t xml:space="preserve">NZ$85,000 for creating 36 localized modules validated by Auckland schools.</w:t>
      </w:r>
    </w:p>
    <w:p>
      <w:pPr>
        <w:numPr>
          <w:ilvl w:val="0"/>
          <w:numId w:val="1003"/>
        </w:numPr>
        <w:pStyle w:val="Compact"/>
      </w:pPr>
      <w:r>
        <w:rPr>
          <w:bCs/>
          <w:b/>
        </w:rPr>
        <w:t xml:space="preserve">Community Partnerships (30%):</w:t>
      </w:r>
      <w:r>
        <w:t xml:space="preserve"> </w:t>
      </w:r>
      <w:r>
        <w:t xml:space="preserve">NZ$62,500 for conference sponsorships and partnership activation with Auckland education trusts.</w:t>
      </w:r>
    </w:p>
    <w:p>
      <w:pPr>
        <w:numPr>
          <w:ilvl w:val="0"/>
          <w:numId w:val="1003"/>
        </w:numPr>
        <w:pStyle w:val="Compact"/>
      </w:pPr>
      <w:r>
        <w:rPr>
          <w:bCs/>
          <w:b/>
        </w:rPr>
        <w:t xml:space="preserve">Digital Marketing (20%):</w:t>
      </w:r>
      <w:r>
        <w:t xml:space="preserve"> </w:t>
      </w:r>
      <w:r>
        <w:t xml:space="preserve">NZ$42,500 for targeted social/LinkedIn campaigns and email automation.</w:t>
      </w:r>
    </w:p>
    <w:p>
      <w:pPr>
        <w:numPr>
          <w:ilvl w:val="0"/>
          <w:numId w:val="1003"/>
        </w:numPr>
        <w:pStyle w:val="Compact"/>
      </w:pPr>
      <w:r>
        <w:rPr>
          <w:bCs/>
          <w:b/>
        </w:rPr>
        <w:t xml:space="preserve">Evaluation &amp; Adaptation (10%):</w:t>
      </w:r>
      <w:r>
        <w:t xml:space="preserve"> </w:t>
      </w:r>
      <w:r>
        <w:t xml:space="preserve">NZ$21,300 for real-time feedback loops from Auckland educators.</w:t>
      </w:r>
    </w:p>
    <w:bookmarkEnd w:id="28"/>
    <w:bookmarkStart w:id="29" w:name="evaluation-framework"/>
    <w:p>
      <w:pPr>
        <w:pStyle w:val="Heading2"/>
      </w:pPr>
      <w:r>
        <w:t xml:space="preserve">Evaluation Framework</w:t>
      </w:r>
    </w:p>
    <w:p>
      <w:pPr>
        <w:pStyle w:val="FirstParagraph"/>
      </w:pPr>
      <w:r>
        <w:t xml:space="preserve">We will measure success through Auckland-specific KPIs:</w:t>
      </w:r>
    </w:p>
    <w:p>
      <w:pPr>
        <w:numPr>
          <w:ilvl w:val="0"/>
          <w:numId w:val="1004"/>
        </w:numPr>
        <w:pStyle w:val="Compact"/>
      </w:pPr>
      <w:r>
        <w:rPr>
          <w:bCs/>
          <w:b/>
        </w:rPr>
        <w:t xml:space="preserve">Engagement Metrics:</w:t>
      </w:r>
      <w:r>
        <w:t xml:space="preserve"> </w:t>
      </w:r>
      <w:r>
        <w:t xml:space="preserve">Track usage of "Auckland-focused" resources (e.g., downloads of Mangere East classroom strategies).</w:t>
      </w:r>
    </w:p>
    <w:p>
      <w:pPr>
        <w:numPr>
          <w:ilvl w:val="0"/>
          <w:numId w:val="1004"/>
        </w:numPr>
        <w:pStyle w:val="Compact"/>
      </w:pPr>
      <w:r>
        <w:rPr>
          <w:bCs/>
          <w:b/>
        </w:rPr>
        <w:t xml:space="preserve">School Impact:</w:t>
      </w:r>
      <w:r>
        <w:t xml:space="preserve"> </w:t>
      </w:r>
      <w:r>
        <w:t xml:space="preserve">Partner with 10 schools to measure reduced planning time (target: 15% average) and improved NCEA pass rates.</w:t>
      </w:r>
    </w:p>
    <w:p>
      <w:pPr>
        <w:numPr>
          <w:ilvl w:val="0"/>
          <w:numId w:val="1004"/>
        </w:numPr>
        <w:pStyle w:val="Compact"/>
      </w:pPr>
      <w:r>
        <w:rPr>
          <w:bCs/>
          <w:b/>
        </w:rPr>
        <w:t xml:space="preserve">Retention Rate:</w:t>
      </w:r>
      <w:r>
        <w:t xml:space="preserve"> </w:t>
      </w:r>
      <w:r>
        <w:t xml:space="preserve">Monitor annual subscription renewals in Auckland (benchmark: industry average 68%, target: 85%).</w:t>
      </w:r>
    </w:p>
    <w:p>
      <w:pPr>
        <w:numPr>
          <w:ilvl w:val="0"/>
          <w:numId w:val="1004"/>
        </w:numPr>
        <w:pStyle w:val="Compact"/>
      </w:pPr>
      <w:r>
        <w:rPr>
          <w:bCs/>
          <w:b/>
        </w:rPr>
        <w:t xml:space="preserve">Community Growth:</w:t>
      </w:r>
      <w:r>
        <w:t xml:space="preserve"> </w:t>
      </w:r>
      <w:r>
        <w:t xml:space="preserve">Measure participation in Auckland Mentor Circles (target: 200+ active members by Month 12).</w:t>
      </w:r>
    </w:p>
    <w:bookmarkEnd w:id="29"/>
    <w:bookmarkStart w:id="30" w:name="implementation-timeline"/>
    <w:p>
      <w:pPr>
        <w:pStyle w:val="Heading2"/>
      </w:pPr>
      <w:r>
        <w:t xml:space="preserve">Implementation Timeline</w:t>
      </w:r>
    </w:p>
    <w:p>
      <w:pPr>
        <w:pStyle w:val="FirstParagraph"/>
      </w:pPr>
      <w:r>
        <w:rPr>
          <w:bCs/>
          <w:b/>
        </w:rPr>
        <w:t xml:space="preserve">Months 1-3:</w:t>
      </w:r>
      <w:r>
        <w:t xml:space="preserve"> </w:t>
      </w:r>
      <w:r>
        <w:t xml:space="preserve">Establish partnerships with Auckland Education Hub; launch first eight "Auckland-Curated" modules.</w:t>
      </w:r>
    </w:p>
    <w:p>
      <w:pPr>
        <w:pStyle w:val="BodyText"/>
      </w:pPr>
      <w:r>
        <w:rPr>
          <w:bCs/>
          <w:b/>
        </w:rPr>
        <w:t xml:space="preserve">Months 4-6:</w:t>
      </w:r>
      <w:r>
        <w:t xml:space="preserve"> </w:t>
      </w:r>
      <w:r>
        <w:t xml:space="preserve">Deploy community mentor circles across all six Auckland education zones; sponsor key regional conferences.</w:t>
      </w:r>
    </w:p>
    <w:p>
      <w:pPr>
        <w:pStyle w:val="BodyText"/>
      </w:pPr>
      <w:r>
        <w:rPr>
          <w:bCs/>
          <w:b/>
        </w:rPr>
        <w:t xml:space="preserve">Months 7-12:</w:t>
      </w:r>
      <w:r>
        <w:t xml:space="preserve"> </w:t>
      </w:r>
      <w:r>
        <w:t xml:space="preserve">Scale successful initiatives; introduce advanced data analytics dashboard showing Auckland-specific student outcome correlations.</w:t>
      </w:r>
    </w:p>
    <w:p>
      <w:pPr>
        <w:pStyle w:val="BodyText"/>
      </w:pPr>
      <w:r>
        <w:rPr>
          <w:bCs/>
          <w:b/>
        </w:rPr>
        <w:t xml:space="preserve">Months 13-18:</w:t>
      </w:r>
      <w:r>
        <w:t xml:space="preserve"> </w:t>
      </w:r>
      <w:r>
        <w:t xml:space="preserve">Achieve market leadership through annual Auckland Educator Impact Report showcasing verified results.</w:t>
      </w:r>
    </w:p>
    <w:bookmarkEnd w:id="30"/>
    <w:bookmarkStart w:id="31" w:name="X44e97fc42c9ba8759557997817ab2a859afdef4"/>
    <w:p>
      <w:pPr>
        <w:pStyle w:val="Heading2"/>
      </w:pPr>
      <w:r>
        <w:t xml:space="preserve">Conclusion: The Teacher Secondary Advantage in New Zealand Auckland</w:t>
      </w:r>
    </w:p>
    <w:p>
      <w:pPr>
        <w:pStyle w:val="FirstParagraph"/>
      </w:pPr>
      <w:r>
        <w:t xml:space="preserve">This Marketing Plan positions Teacher Secondary as more than a service – it's the essential growth engine for secondary educators navigating New Zealand Auckland's complex educational environment. By embedding our solutions within Auckland's unique cultural, linguistic, and pedagogical context rather than offering generic content, we create unmatched value that directly addresses the region's highest-impact challenges. Our commitment to community-driven development ensures every resource reflects the lived reality of teachers in Mangere, Mount Albert, and Mt. Eden schools – making Teacher Secondary not just a provider but the trusted partner for New Zealand Auckland secondary education excellence. As Auckland continues to grow as New Zealand's educational epicenter, Teacher Secondary will be recognized as the indispensable catalyst for teacher success across our most diverse and dynamic school system.</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Teacher Secondary in New Zealand Auckland</dc:title>
  <dc:creator/>
  <dc:language>en</dc:language>
  <cp:keywords/>
  <dcterms:created xsi:type="dcterms:W3CDTF">2026-07-24T18:05:34Z</dcterms:created>
  <dcterms:modified xsi:type="dcterms:W3CDTF">2026-07-24T18:05:34Z</dcterms:modified>
</cp:coreProperties>
</file>

<file path=docProps/custom.xml><?xml version="1.0" encoding="utf-8"?>
<Properties xmlns="http://schemas.openxmlformats.org/officeDocument/2006/custom-properties" xmlns:vt="http://schemas.openxmlformats.org/officeDocument/2006/docPropsVTypes"/>
</file>