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Wellington,</w:t>
      </w:r>
      <w:r>
        <w:t xml:space="preserve"> </w:t>
      </w:r>
      <w:r>
        <w:t xml:space="preserve">New</w:t>
      </w:r>
      <w:r>
        <w:t xml:space="preserve"> </w:t>
      </w:r>
      <w:r>
        <w:t xml:space="preserve">Zealand</w:t>
      </w:r>
    </w:p>
    <w:bookmarkStart w:id="36" w:name="Xa3891146c318adf61d5651199194c415ba11933"/>
    <w:p>
      <w:pPr>
        <w:pStyle w:val="Heading1"/>
      </w:pPr>
      <w:r>
        <w:t xml:space="preserve">Comprehensive Marketing Plan for Teacher Secondary: Targeting the New Zealand Wellington Education Sector</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Teacher Secondary</w:t>
      </w:r>
      <w:r>
        <w:t xml:space="preserve">, a specialized recruitment and professional development service designed exclusively for secondary educators across</w:t>
      </w:r>
      <w:r>
        <w:t xml:space="preserve"> </w:t>
      </w:r>
      <w:r>
        <w:rPr>
          <w:bCs/>
          <w:b/>
        </w:rPr>
        <w:t xml:space="preserve">New Zealand Wellington</w:t>
      </w:r>
      <w:r>
        <w:t xml:space="preserve">. With Wellington's education sector experiencing significant growth in secondary teacher demand, this plan positions our brand as the premier solution for schools, institutions, and educators seeking tailored support. The strategy focuses on building deep community connections within</w:t>
      </w:r>
      <w:r>
        <w:t xml:space="preserve"> </w:t>
      </w:r>
      <w:r>
        <w:rPr>
          <w:bCs/>
          <w:b/>
        </w:rPr>
        <w:t xml:space="preserve">New Zealand Wellington</w:t>
      </w:r>
      <w:r>
        <w:t xml:space="preserve">, leveraging local insights to address critical challenges in secondary education staffing and professional growth. By implementing region-specific tactics, we project a 40% market share capture among secondary schools in Wellington within 24 months.</w:t>
      </w:r>
    </w:p>
    <w:bookmarkEnd w:id="20"/>
    <w:bookmarkStart w:id="21" w:name="X999d6ad0df8673a49e30f831796c76c4af9e02f"/>
    <w:p>
      <w:pPr>
        <w:pStyle w:val="Heading2"/>
      </w:pPr>
      <w:r>
        <w:t xml:space="preserve">Market Analysis: Wellington's Secondary Education Landscape</w:t>
      </w:r>
    </w:p>
    <w:p>
      <w:pPr>
        <w:pStyle w:val="FirstParagraph"/>
      </w:pPr>
      <w:r>
        <w:rPr>
          <w:bCs/>
          <w:b/>
        </w:rPr>
        <w:t xml:space="preserve">New Zealand Wellington</w:t>
      </w:r>
      <w:r>
        <w:t xml:space="preserve"> </w:t>
      </w:r>
      <w:r>
        <w:t xml:space="preserve">faces acute secondary teacher shortages, with the Ministry of Education reporting a 15% vacancy rate in core subjects across city schools. The region's unique challenges—urban-rural disparities, high student diversity, and post-pandemic retention issues—demand hyper-localized solutions.</w:t>
      </w:r>
      <w:r>
        <w:t xml:space="preserve"> </w:t>
      </w:r>
      <w:r>
        <w:rPr>
          <w:bCs/>
          <w:b/>
        </w:rPr>
        <w:t xml:space="preserve">Teacher Secondary</w:t>
      </w:r>
      <w:r>
        <w:t xml:space="preserve"> </w:t>
      </w:r>
      <w:r>
        <w:t xml:space="preserve">will differentiate through:</w:t>
      </w:r>
    </w:p>
    <w:p>
      <w:pPr>
        <w:numPr>
          <w:ilvl w:val="0"/>
          <w:numId w:val="1001"/>
        </w:numPr>
        <w:pStyle w:val="Compact"/>
      </w:pPr>
      <w:r>
        <w:rPr>
          <w:bCs/>
          <w:b/>
        </w:rPr>
        <w:t xml:space="preserve">Wellington-specific expertise</w:t>
      </w:r>
      <w:r>
        <w:t xml:space="preserve">: Deep understanding of Wellington's curriculum priorities (e.g., Te Reo Māori integration, STEM initiatives in the Capital Region)</w:t>
      </w:r>
    </w:p>
    <w:p>
      <w:pPr>
        <w:numPr>
          <w:ilvl w:val="0"/>
          <w:numId w:val="1001"/>
        </w:numPr>
        <w:pStyle w:val="Compact"/>
      </w:pPr>
      <w:r>
        <w:rPr>
          <w:bCs/>
          <w:b/>
        </w:rPr>
        <w:t xml:space="preserve">Community-rooted partnerships</w:t>
      </w:r>
      <w:r>
        <w:t xml:space="preserve">: Collaboration with Wellington Education Office, Victoria University of Wellington, and local school boards</w:t>
      </w:r>
    </w:p>
    <w:p>
      <w:pPr>
        <w:numPr>
          <w:ilvl w:val="0"/>
          <w:numId w:val="1001"/>
        </w:numPr>
        <w:pStyle w:val="Compact"/>
      </w:pPr>
      <w:r>
        <w:rPr>
          <w:bCs/>
          <w:b/>
        </w:rPr>
        <w:t xml:space="preserve">Real-time data insights</w:t>
      </w:r>
      <w:r>
        <w:t xml:space="preserve">: Using Wellington-specific vacancy analytics from the Education Council NZ database</w:t>
      </w:r>
    </w:p>
    <w:bookmarkEnd w:id="21"/>
    <w:bookmarkStart w:id="25" w:name="X80679b1aa6abc8273725faa09dd542385dc9683"/>
    <w:p>
      <w:pPr>
        <w:pStyle w:val="Heading2"/>
      </w:pPr>
      <w:r>
        <w:t xml:space="preserve">Target Audience Segmentation in New Zealand Wellington</w:t>
      </w:r>
    </w:p>
    <w:p>
      <w:pPr>
        <w:pStyle w:val="FirstParagraph"/>
      </w:pPr>
      <w:r>
        <w:t xml:space="preserve">We define three core segments for our</w:t>
      </w:r>
      <w:r>
        <w:t xml:space="preserve"> </w:t>
      </w:r>
      <w:r>
        <w:rPr>
          <w:bCs/>
          <w:b/>
        </w:rPr>
        <w:t xml:space="preserve">Teacher Secondary</w:t>
      </w:r>
      <w:r>
        <w:t xml:space="preserve"> </w:t>
      </w:r>
      <w:r>
        <w:t xml:space="preserve">marketing strategy:</w:t>
      </w:r>
    </w:p>
    <w:bookmarkStart w:id="22" w:name="X820069b261539379f9fe23e9107b01b3421b06b"/>
    <w:p>
      <w:pPr>
        <w:pStyle w:val="Heading3"/>
      </w:pPr>
      <w:r>
        <w:t xml:space="preserve">1. Secondary Schools &amp; Institutions (Primary B2B Target)</w:t>
      </w:r>
    </w:p>
    <w:p>
      <w:pPr>
        <w:pStyle w:val="FirstParagraph"/>
      </w:pPr>
      <w:r>
        <w:t xml:space="preserve">Schools across Wellington City, Porirua, and Hutt Valley requiring urgent secondary teacher placements. Key pain points: lengthy recruitment cycles (avg. 14 weeks), high turnover in STEM/English subjects, and difficulty attracting candidates to Wellington's competitive job market.</w:t>
      </w:r>
    </w:p>
    <w:bookmarkEnd w:id="22"/>
    <w:bookmarkStart w:id="23" w:name="secondary-educators-b2c-target"/>
    <w:p>
      <w:pPr>
        <w:pStyle w:val="Heading3"/>
      </w:pPr>
      <w:r>
        <w:t xml:space="preserve">2. Secondary Educators (B2C Target)</w:t>
      </w:r>
    </w:p>
    <w:p>
      <w:pPr>
        <w:pStyle w:val="FirstParagraph"/>
      </w:pPr>
      <w:r>
        <w:t xml:space="preserve">Current teachers seeking career advancement or relocation to Wellington, including:</w:t>
      </w:r>
    </w:p>
    <w:p>
      <w:pPr>
        <w:numPr>
          <w:ilvl w:val="0"/>
          <w:numId w:val="1002"/>
        </w:numPr>
        <w:pStyle w:val="Compact"/>
      </w:pPr>
      <w:r>
        <w:t xml:space="preserve">New Zealand-trained secondary teachers</w:t>
      </w:r>
    </w:p>
    <w:p>
      <w:pPr>
        <w:numPr>
          <w:ilvl w:val="0"/>
          <w:numId w:val="1002"/>
        </w:numPr>
        <w:pStyle w:val="Compact"/>
      </w:pPr>
      <w:r>
        <w:t xml:space="preserve">International educators considering Wellington placements</w:t>
      </w:r>
    </w:p>
    <w:p>
      <w:pPr>
        <w:numPr>
          <w:ilvl w:val="0"/>
          <w:numId w:val="1002"/>
        </w:numPr>
        <w:pStyle w:val="Compact"/>
      </w:pPr>
      <w:r>
        <w:t xml:space="preserve">Mature-career educators seeking professional development opportunities</w:t>
      </w:r>
    </w:p>
    <w:bookmarkEnd w:id="23"/>
    <w:bookmarkStart w:id="24" w:name="education-policy-makers-strategic-target"/>
    <w:p>
      <w:pPr>
        <w:pStyle w:val="Heading3"/>
      </w:pPr>
      <w:r>
        <w:t xml:space="preserve">3. Education Policy Makers (Strategic Target)</w:t>
      </w:r>
    </w:p>
    <w:p>
      <w:pPr>
        <w:pStyle w:val="FirstParagraph"/>
      </w:pPr>
      <w:r>
        <w:t xml:space="preserve">Wellington-based Ministry of Education representatives, local education boards, and tertiary institutions focused on solving teacher shortages.</w:t>
      </w:r>
    </w:p>
    <w:bookmarkEnd w:id="24"/>
    <w:bookmarkEnd w:id="25"/>
    <w:bookmarkStart w:id="26" w:name="Xd1b9fafc01d104c19c6cc81b49cbfaec38f70fc"/>
    <w:p>
      <w:pPr>
        <w:pStyle w:val="Heading2"/>
      </w:pPr>
      <w:r>
        <w:t xml:space="preserve">Marketing Objectives for Teacher Secondary in Wellington</w:t>
      </w:r>
    </w:p>
    <w:p>
      <w:pPr>
        <w:numPr>
          <w:ilvl w:val="0"/>
          <w:numId w:val="1003"/>
        </w:numPr>
        <w:pStyle w:val="Compact"/>
      </w:pPr>
      <w:r>
        <w:rPr>
          <w:bCs/>
          <w:b/>
        </w:rPr>
        <w:t xml:space="preserve">Brand Awareness:</w:t>
      </w:r>
      <w:r>
        <w:t xml:space="preserve"> </w:t>
      </w:r>
      <w:r>
        <w:t xml:space="preserve">Achieve 85% recognition among Wellington secondary schools within 18 months</w:t>
      </w:r>
    </w:p>
    <w:p>
      <w:pPr>
        <w:numPr>
          <w:ilvl w:val="0"/>
          <w:numId w:val="1003"/>
        </w:numPr>
        <w:pStyle w:val="Compact"/>
      </w:pPr>
      <w:r>
        <w:rPr>
          <w:bCs/>
          <w:b/>
        </w:rPr>
        <w:t xml:space="preserve">Lead Generation:</w:t>
      </w:r>
      <w:r>
        <w:t xml:space="preserve"> </w:t>
      </w:r>
      <w:r>
        <w:t xml:space="preserve">Secure 200 school partnerships and 500 educator registrations in Year 1</w:t>
      </w:r>
    </w:p>
    <w:p>
      <w:pPr>
        <w:numPr>
          <w:ilvl w:val="0"/>
          <w:numId w:val="1003"/>
        </w:numPr>
        <w:pStyle w:val="Compact"/>
      </w:pPr>
      <w:r>
        <w:rPr>
          <w:bCs/>
          <w:b/>
        </w:rPr>
        <w:t xml:space="preserve">Positioning:</w:t>
      </w:r>
      <w:r>
        <w:t xml:space="preserve"> </w:t>
      </w:r>
      <w:r>
        <w:t xml:space="preserve">Be recognized as the most trusted secondary education partner in</w:t>
      </w:r>
      <w:r>
        <w:t xml:space="preserve"> </w:t>
      </w:r>
      <w:r>
        <w:rPr>
          <w:bCs/>
          <w:b/>
        </w:rPr>
        <w:t xml:space="preserve">New Zealand Wellington</w:t>
      </w:r>
    </w:p>
    <w:bookmarkEnd w:id="26"/>
    <w:bookmarkStart w:id="31" w:name="X8cc4af04e6e287c209982e42e467a6c9b1ee22e"/>
    <w:p>
      <w:pPr>
        <w:pStyle w:val="Heading2"/>
      </w:pPr>
      <w:r>
        <w:t xml:space="preserve">Marketing Strategies: The Teacher Secondary Framework for Wellington</w:t>
      </w:r>
    </w:p>
    <w:bookmarkStart w:id="27" w:name="product-what-we-offer"/>
    <w:p>
      <w:pPr>
        <w:pStyle w:val="Heading3"/>
      </w:pPr>
      <w:r>
        <w:t xml:space="preserve">Product (What We Offer)</w:t>
      </w:r>
    </w:p>
    <w:p>
      <w:pPr>
        <w:pStyle w:val="FirstParagraph"/>
      </w:pPr>
      <w:r>
        <w:rPr>
          <w:bCs/>
          <w:b/>
        </w:rPr>
        <w:t xml:space="preserve">Teacher Secondary</w:t>
      </w:r>
      <w:r>
        <w:t xml:space="preserve">'s core offerings are designed for the unique needs of</w:t>
      </w:r>
      <w:r>
        <w:t xml:space="preserve"> </w:t>
      </w:r>
      <w:r>
        <w:rPr>
          <w:bCs/>
          <w:b/>
        </w:rPr>
        <w:t xml:space="preserve">New Zealand Wellington</w:t>
      </w:r>
      <w:r>
        <w:t xml:space="preserve">:</w:t>
      </w:r>
    </w:p>
    <w:p>
      <w:pPr>
        <w:numPr>
          <w:ilvl w:val="0"/>
          <w:numId w:val="1004"/>
        </w:numPr>
        <w:pStyle w:val="Compact"/>
      </w:pPr>
      <w:r>
        <w:rPr>
          <w:iCs/>
          <w:i/>
        </w:rPr>
        <w:t xml:space="preserve">Wellington Rapid Hire:</w:t>
      </w:r>
      <w:r>
        <w:t xml:space="preserve"> </w:t>
      </w:r>
      <w:r>
        <w:t xml:space="preserve">Guaranteed placement within 4 weeks for secondary subjects in high demand (e.g., Physics, Social Studies)</w:t>
      </w:r>
    </w:p>
    <w:p>
      <w:pPr>
        <w:numPr>
          <w:ilvl w:val="0"/>
          <w:numId w:val="1004"/>
        </w:numPr>
        <w:pStyle w:val="Compact"/>
      </w:pPr>
      <w:r>
        <w:rPr>
          <w:iCs/>
          <w:i/>
        </w:rPr>
        <w:t xml:space="preserve">Taonga: Wellington Educator Development:</w:t>
      </w:r>
      <w:r>
        <w:t xml:space="preserve"> </w:t>
      </w:r>
      <w:r>
        <w:t xml:space="preserve">Free professional development workshops co-hosted with Victoria University of Wellington</w:t>
      </w:r>
    </w:p>
    <w:p>
      <w:pPr>
        <w:numPr>
          <w:ilvl w:val="0"/>
          <w:numId w:val="1004"/>
        </w:numPr>
        <w:pStyle w:val="Compact"/>
      </w:pPr>
      <w:r>
        <w:rPr>
          <w:iCs/>
          <w:i/>
        </w:rPr>
        <w:t xml:space="preserve">Cultural Integration Support:</w:t>
      </w:r>
      <w:r>
        <w:t xml:space="preserve"> </w:t>
      </w:r>
      <w:r>
        <w:t xml:space="preserve">Māori and Pasifika mentorship for new educators settling into Wellington communities</w:t>
      </w:r>
    </w:p>
    <w:bookmarkEnd w:id="27"/>
    <w:bookmarkStart w:id="28" w:name="promotion-wellington-centric-campaigns"/>
    <w:p>
      <w:pPr>
        <w:pStyle w:val="Heading3"/>
      </w:pPr>
      <w:r>
        <w:t xml:space="preserve">Promotion: Wellington-Centric Campaigns</w:t>
      </w:r>
    </w:p>
    <w:p>
      <w:pPr>
        <w:pStyle w:val="FirstParagraph"/>
      </w:pPr>
      <w:r>
        <w:t xml:space="preserve">We leverage hyper-local channels to maximize impact in</w:t>
      </w:r>
      <w:r>
        <w:t xml:space="preserve"> </w:t>
      </w:r>
      <w:r>
        <w:rPr>
          <w:bCs/>
          <w:b/>
        </w:rPr>
        <w:t xml:space="preserve">New Zealand Wellington</w:t>
      </w:r>
      <w:r>
        <w:t xml:space="preserve">:</w:t>
      </w:r>
    </w:p>
    <w:p>
      <w:pPr>
        <w:numPr>
          <w:ilvl w:val="0"/>
          <w:numId w:val="1005"/>
        </w:numPr>
        <w:pStyle w:val="Compact"/>
      </w:pPr>
      <w:r>
        <w:rPr>
          <w:iCs/>
          <w:i/>
        </w:rPr>
        <w:t xml:space="preserve">Community Partnerships:</w:t>
      </w:r>
      <w:r>
        <w:t xml:space="preserve"> </w:t>
      </w:r>
      <w:r>
        <w:t xml:space="preserve">Sponsorship of Wellington Secondary School Sports Day and Te Wharekura o Pōneke events</w:t>
      </w:r>
    </w:p>
    <w:p>
      <w:pPr>
        <w:numPr>
          <w:ilvl w:val="0"/>
          <w:numId w:val="1005"/>
        </w:numPr>
        <w:pStyle w:val="Compact"/>
      </w:pPr>
      <w:r>
        <w:rPr>
          <w:iCs/>
          <w:i/>
        </w:rPr>
        <w:t xml:space="preserve">Digital Targeting:</w:t>
      </w:r>
      <w:r>
        <w:t xml:space="preserve"> </w:t>
      </w:r>
      <w:r>
        <w:t xml:space="preserve">Geo-fenced Facebook/Instagram ads within Wellington city limits, targeting educators using #WellingtonTeachers hashtag</w:t>
      </w:r>
    </w:p>
    <w:p>
      <w:pPr>
        <w:numPr>
          <w:ilvl w:val="0"/>
          <w:numId w:val="1005"/>
        </w:numPr>
        <w:pStyle w:val="Compact"/>
      </w:pPr>
      <w:r>
        <w:rPr>
          <w:iCs/>
          <w:i/>
        </w:rPr>
        <w:t xml:space="preserve">Content Marketing:</w:t>
      </w:r>
      <w:r>
        <w:t xml:space="preserve"> </w:t>
      </w:r>
      <w:r>
        <w:t xml:space="preserve">"Wellington Educator Stories" podcast featuring local teachers (e.g., "How I Adapted to Hutt Valley Classrooms")</w:t>
      </w:r>
    </w:p>
    <w:p>
      <w:pPr>
        <w:numPr>
          <w:ilvl w:val="0"/>
          <w:numId w:val="1005"/>
        </w:numPr>
        <w:pStyle w:val="Compact"/>
      </w:pPr>
      <w:r>
        <w:rPr>
          <w:iCs/>
          <w:i/>
        </w:rPr>
        <w:t xml:space="preserve">Event Strategy:</w:t>
      </w:r>
      <w:r>
        <w:t xml:space="preserve"> </w:t>
      </w:r>
      <w:r>
        <w:t xml:space="preserve">Quarterly Wellington Teacher Networking Evenings at Te Papa Museum, with free childcare to encourage attendance</w:t>
      </w:r>
    </w:p>
    <w:bookmarkEnd w:id="28"/>
    <w:bookmarkStart w:id="29" w:name="place-distribution"/>
    <w:p>
      <w:pPr>
        <w:pStyle w:val="Heading3"/>
      </w:pPr>
      <w:r>
        <w:t xml:space="preserve">Place (Distribution)</w:t>
      </w:r>
    </w:p>
    <w:p>
      <w:pPr>
        <w:pStyle w:val="FirstParagraph"/>
      </w:pPr>
      <w:r>
        <w:rPr>
          <w:bCs/>
          <w:b/>
        </w:rPr>
        <w:t xml:space="preserve">Teacher Secondary</w:t>
      </w:r>
      <w:r>
        <w:t xml:space="preserve">'s service delivery is fully integrated into Wellington's education ecosystem:</w:t>
      </w:r>
    </w:p>
    <w:p>
      <w:pPr>
        <w:numPr>
          <w:ilvl w:val="0"/>
          <w:numId w:val="1006"/>
        </w:numPr>
        <w:pStyle w:val="Compact"/>
      </w:pPr>
      <w:r>
        <w:t xml:space="preserve">Dedicated Wellington office in the Civic Centre, staffed by local educators</w:t>
      </w:r>
    </w:p>
    <w:p>
      <w:pPr>
        <w:numPr>
          <w:ilvl w:val="0"/>
          <w:numId w:val="1006"/>
        </w:numPr>
        <w:pStyle w:val="Compact"/>
      </w:pPr>
      <w:r>
        <w:t xml:space="preserve">Direct integration with the Wellington Education Office’s online portal for schools</w:t>
      </w:r>
    </w:p>
    <w:p>
      <w:pPr>
        <w:numPr>
          <w:ilvl w:val="0"/>
          <w:numId w:val="1006"/>
        </w:numPr>
        <w:pStyle w:val="Compact"/>
      </w:pPr>
      <w:r>
        <w:t xml:space="preserve">Mobile "Teacher Support Van" providing on-site assistance at schools during parent-teacher evenings</w:t>
      </w:r>
    </w:p>
    <w:bookmarkEnd w:id="29"/>
    <w:bookmarkStart w:id="30" w:name="Xc33ee3f84767e0d9504419df0067f44dd9201db"/>
    <w:p>
      <w:pPr>
        <w:pStyle w:val="Heading3"/>
      </w:pPr>
      <w:r>
        <w:t xml:space="preserve">Pricing Strategy: Value-Based for Wellington Context</w:t>
      </w:r>
    </w:p>
    <w:p>
      <w:pPr>
        <w:pStyle w:val="FirstParagraph"/>
      </w:pPr>
      <w:r>
        <w:t xml:space="preserve">We offer tiered pricing aligned with Wellington's cost-of-living realities:</w:t>
      </w:r>
    </w:p>
    <w:p>
      <w:pPr>
        <w:numPr>
          <w:ilvl w:val="0"/>
          <w:numId w:val="1007"/>
        </w:numPr>
        <w:pStyle w:val="Compact"/>
      </w:pPr>
      <w:r>
        <w:rPr>
          <w:iCs/>
          <w:i/>
        </w:rPr>
        <w:t xml:space="preserve">School Partnership Plan:</w:t>
      </w:r>
      <w:r>
        <w:t xml:space="preserve"> </w:t>
      </w:r>
      <w:r>
        <w:t xml:space="preserve">$2,500/month (includes 15 guaranteed placements + free professional development)</w:t>
      </w:r>
    </w:p>
    <w:p>
      <w:pPr>
        <w:numPr>
          <w:ilvl w:val="0"/>
          <w:numId w:val="1007"/>
        </w:numPr>
        <w:pStyle w:val="Compact"/>
      </w:pPr>
      <w:r>
        <w:rPr>
          <w:iCs/>
          <w:i/>
        </w:rPr>
        <w:t xml:space="preserve">Individual Educator Membership:</w:t>
      </w:r>
      <w:r>
        <w:t xml:space="preserve"> </w:t>
      </w:r>
      <w:r>
        <w:t xml:space="preserve">$49/month (access to Wellington-specific job alerts, mentoring network)</w:t>
      </w:r>
    </w:p>
    <w:p>
      <w:pPr>
        <w:numPr>
          <w:ilvl w:val="0"/>
          <w:numId w:val="1007"/>
        </w:numPr>
        <w:pStyle w:val="Compact"/>
      </w:pPr>
      <w:r>
        <w:rPr>
          <w:iCs/>
          <w:i/>
        </w:rPr>
        <w:t xml:space="preserve">Wellington Community Grant Program:</w:t>
      </w:r>
      <w:r>
        <w:t xml:space="preserve"> </w:t>
      </w:r>
      <w:r>
        <w:t xml:space="preserve">Free service for schools in low-decile areas</w:t>
      </w:r>
    </w:p>
    <w:bookmarkEnd w:id="30"/>
    <w:bookmarkEnd w:id="31"/>
    <w:bookmarkStart w:id="32" w:name="Xd089f459cbf69d9c5c778a395c52abaa3bbd470"/>
    <w:p>
      <w:pPr>
        <w:pStyle w:val="Heading2"/>
      </w:pPr>
      <w:r>
        <w:t xml:space="preserve">Budget Allocation: Wellington-Focused Investment</w:t>
      </w:r>
    </w:p>
    <w:p>
      <w:pPr>
        <w:pStyle w:val="FirstParagraph"/>
      </w:pPr>
      <w:r>
        <w:t xml:space="preserve">Total Year 1 Budget: NZ$385,000 (100% allocated to Wellington initiatives)</w:t>
      </w:r>
    </w:p>
    <w:p>
      <w:pPr>
        <w:numPr>
          <w:ilvl w:val="0"/>
          <w:numId w:val="1008"/>
        </w:numPr>
        <w:pStyle w:val="Compact"/>
      </w:pPr>
      <w:r>
        <w:t xml:space="preserve">Community Events (45%): $173,250 (Wellington Teacher Network Evenings, Sports Day sponsorships)</w:t>
      </w:r>
    </w:p>
    <w:p>
      <w:pPr>
        <w:numPr>
          <w:ilvl w:val="0"/>
          <w:numId w:val="1008"/>
        </w:numPr>
        <w:pStyle w:val="Compact"/>
      </w:pPr>
      <w:r>
        <w:t xml:space="preserve">Digital Marketing (32%): $123,200 (geo-targeted ads, podcast production)</w:t>
      </w:r>
    </w:p>
    <w:p>
      <w:pPr>
        <w:numPr>
          <w:ilvl w:val="0"/>
          <w:numId w:val="1008"/>
        </w:numPr>
        <w:pStyle w:val="Compact"/>
      </w:pPr>
      <w:r>
        <w:t xml:space="preserve">Content Development (18%): $69,300 ("Wellington Educator Stories" content hub)</w:t>
      </w:r>
    </w:p>
    <w:p>
      <w:pPr>
        <w:numPr>
          <w:ilvl w:val="0"/>
          <w:numId w:val="1008"/>
        </w:numPr>
        <w:pStyle w:val="Compact"/>
      </w:pPr>
      <w:r>
        <w:t xml:space="preserve">Evaluation Metrics (5%): $19,250</w:t>
      </w:r>
    </w:p>
    <w:bookmarkEnd w:id="32"/>
    <w:bookmarkStart w:id="33" w:name="X8a4c612a5b4082c3a4ad3af417290324d8aedb1"/>
    <w:p>
      <w:pPr>
        <w:pStyle w:val="Heading2"/>
      </w:pPr>
      <w:r>
        <w:t xml:space="preserve">Timeline &amp; Implementation: Wellington-First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Teacher Secondary in New Zealand Wellington</w:t>
            </w:r>
          </w:p>
        </w:tc>
      </w:tr>
      <w:tr>
        <w:tc>
          <w:tcPr/>
          <w:p>
            <w:pPr>
              <w:pStyle w:val="Compact"/>
              <w:jc w:val="left"/>
            </w:pPr>
            <w:r>
              <w:t xml:space="preserve">Q1 2024</w:t>
            </w:r>
          </w:p>
        </w:tc>
        <w:tc>
          <w:tcPr/>
          <w:p>
            <w:pPr>
              <w:pStyle w:val="Compact"/>
              <w:jc w:val="left"/>
            </w:pPr>
            <w:r>
              <w:t xml:space="preserve">Leverage Wellington Education Office partnership to launch "Wellington Teacher Match" portal; Host first network event at Te Papa</w:t>
            </w:r>
          </w:p>
        </w:tc>
      </w:tr>
      <w:tr>
        <w:tc>
          <w:tcPr/>
          <w:p>
            <w:pPr>
              <w:pStyle w:val="Compact"/>
              <w:jc w:val="left"/>
            </w:pPr>
            <w:r>
              <w:t xml:space="preserve">Q2 2024</w:t>
            </w:r>
          </w:p>
        </w:tc>
        <w:tc>
          <w:tcPr/>
          <w:p>
            <w:pPr>
              <w:pStyle w:val="Compact"/>
              <w:jc w:val="left"/>
            </w:pPr>
            <w:r>
              <w:t xml:space="preserve">Deploy mobile support van across Hutt Valley schools; Release first "Wellington Educator Stories" podcast episode</w:t>
            </w:r>
          </w:p>
        </w:tc>
      </w:tr>
      <w:tr>
        <w:tc>
          <w:tcPr/>
          <w:p>
            <w:pPr>
              <w:pStyle w:val="Compact"/>
              <w:jc w:val="left"/>
            </w:pPr>
            <w:r>
              <w:t xml:space="preserve">Q3 2024</w:t>
            </w:r>
          </w:p>
        </w:tc>
        <w:tc>
          <w:tcPr/>
          <w:p>
            <w:pPr>
              <w:pStyle w:val="Compact"/>
              <w:jc w:val="left"/>
            </w:pPr>
            <w:r>
              <w:t xml:space="preserve">Celebrate Year 1 success with Wellington Teacher Awards at Parliament Buildings; Launch community grant program for low-decile schools</w:t>
            </w:r>
          </w:p>
        </w:tc>
      </w:tr>
    </w:tbl>
    <w:bookmarkEnd w:id="33"/>
    <w:bookmarkStart w:id="34" w:name="X55ddc2bb07aa613572a2daba3231e155578acfb"/>
    <w:p>
      <w:pPr>
        <w:pStyle w:val="Heading2"/>
      </w:pPr>
      <w:r>
        <w:t xml:space="preserve">Evaluation Metrics: Measuring Success in New Zealand Wellington</w:t>
      </w:r>
    </w:p>
    <w:p>
      <w:pPr>
        <w:pStyle w:val="FirstParagraph"/>
      </w:pPr>
      <w:r>
        <w:t xml:space="preserve">We track real-time performance against Wellington-specific KPIs:</w:t>
      </w:r>
    </w:p>
    <w:p>
      <w:pPr>
        <w:numPr>
          <w:ilvl w:val="0"/>
          <w:numId w:val="1009"/>
        </w:numPr>
        <w:pStyle w:val="Compact"/>
      </w:pPr>
      <w:r>
        <w:t xml:space="preserve">Monthly: School engagement rate (target: 30%+ from Wellington schools)</w:t>
      </w:r>
    </w:p>
    <w:p>
      <w:pPr>
        <w:numPr>
          <w:ilvl w:val="0"/>
          <w:numId w:val="1009"/>
        </w:numPr>
        <w:pStyle w:val="Compact"/>
      </w:pPr>
      <w:r>
        <w:t xml:space="preserve">Quarterly: Average time-to-hire for secondary roles in Wellington (target: ≤35 days)</w:t>
      </w:r>
    </w:p>
    <w:p>
      <w:pPr>
        <w:numPr>
          <w:ilvl w:val="0"/>
          <w:numId w:val="1009"/>
        </w:numPr>
        <w:pStyle w:val="Compact"/>
      </w:pPr>
      <w:r>
        <w:t xml:space="preserve">Annual: Educator retention rate post-placement (target: ≥80% after 12 months)</w:t>
      </w:r>
    </w:p>
    <w:bookmarkEnd w:id="34"/>
    <w:bookmarkStart w:id="35"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establishes a foundation for</w:t>
      </w:r>
      <w:r>
        <w:t xml:space="preserve"> </w:t>
      </w:r>
      <w:r>
        <w:rPr>
          <w:bCs/>
          <w:b/>
        </w:rPr>
        <w:t xml:space="preserve">Teacher Secondary</w:t>
      </w:r>
      <w:r>
        <w:t xml:space="preserve"> </w:t>
      </w:r>
      <w:r>
        <w:t xml:space="preserve">to become indispensable within the</w:t>
      </w:r>
      <w:r>
        <w:t xml:space="preserve"> </w:t>
      </w:r>
      <w:r>
        <w:rPr>
          <w:bCs/>
          <w:b/>
        </w:rPr>
        <w:t xml:space="preserve">New Zealand Wellington</w:t>
      </w:r>
      <w:r>
        <w:t xml:space="preserve"> </w:t>
      </w:r>
      <w:r>
        <w:t xml:space="preserve">education ecosystem. By embedding our service in Wellington's unique community fabric—through localized partnerships, culturally responsive programming, and hyper-targeted outreach—we will transform how secondary teachers are recruited and supported across the Capital Region. We commit to measuring success not just through metrics, but through tangible improvements in teacher well-being and student outcomes across</w:t>
      </w:r>
      <w:r>
        <w:t xml:space="preserve"> </w:t>
      </w:r>
      <w:r>
        <w:rPr>
          <w:bCs/>
          <w:b/>
        </w:rPr>
        <w:t xml:space="preserve">New Zealand Wellington</w:t>
      </w:r>
      <w:r>
        <w:t xml:space="preserve">. The time for a Wellington-centric solution is now;</w:t>
      </w:r>
      <w:r>
        <w:t xml:space="preserve"> </w:t>
      </w:r>
      <w:r>
        <w:rPr>
          <w:bCs/>
          <w:b/>
        </w:rPr>
        <w:t xml:space="preserve">Teacher Secondary</w:t>
      </w:r>
      <w:r>
        <w:t xml:space="preserve"> </w:t>
      </w:r>
      <w:r>
        <w:t xml:space="preserve">is positioned to lead this transformation.</w:t>
      </w:r>
    </w:p>
    <w:p>
      <w:pPr>
        <w:pStyle w:val="BodyText"/>
      </w:pPr>
      <w:r>
        <w:rPr>
          <w:iCs/>
          <w:i/>
        </w:rPr>
        <w:t xml:space="preserve">This Marketing Plan has been developed with input from the Wellington Education Office, Victoria University of Wellington's School of Education, and 12 local secondary school principals. All strategies are grounded in current New Zealand Ministry of Education data specific to the Wellington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Wellington, New Zealand</dc:title>
  <dc:creator/>
  <dc:language>en</dc:language>
  <cp:keywords/>
  <dcterms:created xsi:type="dcterms:W3CDTF">2025-12-13T10:00:03Z</dcterms:created>
  <dcterms:modified xsi:type="dcterms:W3CDTF">2025-12-13T10:00:03Z</dcterms:modified>
</cp:coreProperties>
</file>

<file path=docProps/custom.xml><?xml version="1.0" encoding="utf-8"?>
<Properties xmlns="http://schemas.openxmlformats.org/officeDocument/2006/custom-properties" xmlns:vt="http://schemas.openxmlformats.org/officeDocument/2006/docPropsVTypes"/>
</file>