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Teacher</w:t>
      </w:r>
      <w:r>
        <w:t xml:space="preserve"> </w:t>
      </w:r>
      <w:r>
        <w:t xml:space="preserve">Secondary</w:t>
      </w:r>
      <w:r>
        <w:t xml:space="preserve"> </w:t>
      </w:r>
      <w:r>
        <w:t xml:space="preserve">in</w:t>
      </w:r>
      <w:r>
        <w:t xml:space="preserve"> </w:t>
      </w:r>
      <w:r>
        <w:t xml:space="preserve">Russia</w:t>
      </w:r>
      <w:r>
        <w:t xml:space="preserve"> </w:t>
      </w:r>
      <w:r>
        <w:t xml:space="preserve">Moscow</w:t>
      </w:r>
    </w:p>
    <w:bookmarkStart w:id="28" w:name="X86329849b6a21d8221d171b92a80c4e22d2ce65"/>
    <w:p>
      <w:pPr>
        <w:pStyle w:val="Heading1"/>
      </w:pPr>
      <w:r>
        <w:t xml:space="preserve">Comprehensive Marketing Plan for Teacher Secondary: Targeting Moscow's Secondary Education Sector</w:t>
      </w:r>
    </w:p>
    <w:bookmarkStart w:id="20" w:name="executive-summary"/>
    <w:p>
      <w:pPr>
        <w:pStyle w:val="Heading2"/>
      </w:pPr>
      <w:r>
        <w:t xml:space="preserve">Executive Summary</w:t>
      </w:r>
    </w:p>
    <w:p>
      <w:pPr>
        <w:pStyle w:val="FirstParagraph"/>
      </w:pPr>
      <w:r>
        <w:t xml:space="preserve">This Marketing Plan details the strategic rollout of</w:t>
      </w:r>
      <w:r>
        <w:t xml:space="preserve"> </w:t>
      </w:r>
      <w:r>
        <w:rPr>
          <w:bCs/>
          <w:b/>
        </w:rPr>
        <w:t xml:space="preserve">Teacher Secondary</w:t>
      </w:r>
      <w:r>
        <w:t xml:space="preserve">, a specialized professional development platform designed exclusively for secondary school educators in Russia, with initial focus on Moscow. As Russia’s education system undergoes significant modernization under national initiatives like "Digital Education," Moscow—a hub for 45% of the country's edtech innovation—represents an ideal launch market. Teacher Secondary addresses critical gaps in teacher retention, curriculum alignment, and digital literacy among secondary educators (grades 7-11) across Moscow’s public schools. Our plan leverages local partnerships, cultural insights, and government-aligned frameworks to achieve 35% market penetration in target schools within 24 months.</w:t>
      </w:r>
    </w:p>
    <w:bookmarkEnd w:id="20"/>
    <w:bookmarkStart w:id="21" w:name="situation-analysis-russia-moscow-context"/>
    <w:p>
      <w:pPr>
        <w:pStyle w:val="Heading2"/>
      </w:pPr>
      <w:r>
        <w:t xml:space="preserve">Situation Analysis: Russia Moscow Context</w:t>
      </w:r>
    </w:p>
    <w:p>
      <w:pPr>
        <w:pStyle w:val="FirstParagraph"/>
      </w:pPr>
      <w:r>
        <w:t xml:space="preserve">Secondary education in Moscow faces unique challenges:</w:t>
      </w:r>
    </w:p>
    <w:p>
      <w:pPr>
        <w:numPr>
          <w:ilvl w:val="0"/>
          <w:numId w:val="1001"/>
        </w:numPr>
        <w:pStyle w:val="Compact"/>
      </w:pPr>
      <w:r>
        <w:rPr>
          <w:bCs/>
          <w:b/>
        </w:rPr>
        <w:t xml:space="preserve">Teacher Shortages:</w:t>
      </w:r>
      <w:r>
        <w:t xml:space="preserve"> </w:t>
      </w:r>
      <w:r>
        <w:t xml:space="preserve">Moscow reports a 17% vacancy rate for secondary-level STEM and humanities educators (Rosstat, 2023).</w:t>
      </w:r>
    </w:p>
    <w:p>
      <w:pPr>
        <w:numPr>
          <w:ilvl w:val="0"/>
          <w:numId w:val="1001"/>
        </w:numPr>
        <w:pStyle w:val="Compact"/>
      </w:pPr>
      <w:r>
        <w:rPr>
          <w:bCs/>
          <w:b/>
        </w:rPr>
        <w:t xml:space="preserve">Curriculum Pressure:</w:t>
      </w:r>
      <w:r>
        <w:t xml:space="preserve"> </w:t>
      </w:r>
      <w:r>
        <w:t xml:space="preserve">New Federal State Educational Standards (FSES) demand updated teaching methodologies aligned with Russia’s "School of the Future" program.</w:t>
      </w:r>
    </w:p>
    <w:p>
      <w:pPr>
        <w:numPr>
          <w:ilvl w:val="0"/>
          <w:numId w:val="1001"/>
        </w:numPr>
        <w:pStyle w:val="Compact"/>
      </w:pPr>
      <w:r>
        <w:rPr>
          <w:bCs/>
          <w:b/>
        </w:rPr>
        <w:t xml:space="preserve">Digital Divide:</w:t>
      </w:r>
      <w:r>
        <w:t xml:space="preserve"> </w:t>
      </w:r>
      <w:r>
        <w:t xml:space="preserve">While Moscow schools have higher tech access than national averages, 68% of teachers report insufficient training for digital tools (Ministry of Education Survey, 2023).</w:t>
      </w:r>
    </w:p>
    <w:p>
      <w:pPr>
        <w:pStyle w:val="FirstParagraph"/>
      </w:pPr>
      <w:r>
        <w:t xml:space="preserve">Russia’s education reforms prioritize teacher development as a core pillar. The Moscow Department of Education has allocated ₽45 billion ($500 million) for digital infrastructure in secondary schools through 2025, creating urgent demand for solutions like Teacher Secondary. Competitors (e.g., "Pedagogic Hub") lack Russia-specific content or focus on primary education—leaving a clear gap in Moscow’s secondary segment.</w:t>
      </w:r>
    </w:p>
    <w:bookmarkEnd w:id="21"/>
    <w:bookmarkStart w:id="22" w:name="marketing-objectives"/>
    <w:p>
      <w:pPr>
        <w:pStyle w:val="Heading2"/>
      </w:pPr>
      <w:r>
        <w:t xml:space="preserve">Marketing Objectives</w:t>
      </w:r>
    </w:p>
    <w:p>
      <w:pPr>
        <w:pStyle w:val="FirstParagraph"/>
      </w:pPr>
      <w:r>
        <w:t xml:space="preserve">Aligned with Moscow’s educational priorities, our SMART objectives are:</w:t>
      </w:r>
    </w:p>
    <w:p>
      <w:pPr>
        <w:numPr>
          <w:ilvl w:val="0"/>
          <w:numId w:val="1002"/>
        </w:numPr>
        <w:pStyle w:val="Compact"/>
      </w:pPr>
      <w:r>
        <w:rPr>
          <w:bCs/>
          <w:b/>
        </w:rPr>
        <w:t xml:space="preserve">Market Penetration:</w:t>
      </w:r>
      <w:r>
        <w:t xml:space="preserve"> </w:t>
      </w:r>
      <w:r>
        <w:t xml:space="preserve">Acquire 50+ public secondary schools in Moscow within 18 months (target: 30% of eligible institutions).</w:t>
      </w:r>
    </w:p>
    <w:p>
      <w:pPr>
        <w:numPr>
          <w:ilvl w:val="0"/>
          <w:numId w:val="1002"/>
        </w:numPr>
        <w:pStyle w:val="Compact"/>
      </w:pPr>
      <w:r>
        <w:rPr>
          <w:bCs/>
          <w:b/>
        </w:rPr>
        <w:t xml:space="preserve">Brand Authority:</w:t>
      </w:r>
      <w:r>
        <w:t xml:space="preserve"> </w:t>
      </w:r>
      <w:r>
        <w:t xml:space="preserve">Secure endorsements from key Moscow bodies, including the Institute of Modern Education and Moscow Pedagogical University.</w:t>
      </w:r>
    </w:p>
    <w:p>
      <w:pPr>
        <w:numPr>
          <w:ilvl w:val="0"/>
          <w:numId w:val="1002"/>
        </w:numPr>
        <w:pStyle w:val="Compact"/>
      </w:pPr>
      <w:r>
        <w:rPr>
          <w:bCs/>
          <w:b/>
        </w:rPr>
        <w:t xml:space="preserve">User Engagement:</w:t>
      </w:r>
      <w:r>
        <w:t xml:space="preserve"> </w:t>
      </w:r>
      <w:r>
        <w:t xml:space="preserve">Achieve 75% active usage among subscribed teachers via localized content (e.g., lessons for "Olympiad Training," Russian literature modules).</w:t>
      </w:r>
    </w:p>
    <w:bookmarkEnd w:id="22"/>
    <w:bookmarkStart w:id="23" w:name="X08742fe9de18f7fae6bf235ac7aa10adc2da34a"/>
    <w:p>
      <w:pPr>
        <w:pStyle w:val="Heading2"/>
      </w:pPr>
      <w:r>
        <w:t xml:space="preserve">Target Audience: Teacher Secondary in Moscow</w:t>
      </w:r>
    </w:p>
    <w:p>
      <w:pPr>
        <w:pStyle w:val="FirstParagraph"/>
      </w:pPr>
      <w:r>
        <w:t xml:space="preserve">We focus on two primary segments within Moscow’s secondary education ecosystem:</w:t>
      </w:r>
    </w:p>
    <w:p>
      <w:pPr>
        <w:numPr>
          <w:ilvl w:val="0"/>
          <w:numId w:val="1003"/>
        </w:numPr>
        <w:pStyle w:val="Compact"/>
      </w:pPr>
      <w:r>
        <w:rPr>
          <w:bCs/>
          <w:b/>
        </w:rPr>
        <w:t xml:space="preserve">Practicing Educators (70% of target):</w:t>
      </w:r>
      <w:r>
        <w:t xml:space="preserve"> </w:t>
      </w:r>
      <w:r>
        <w:t xml:space="preserve">Teachers aged 35–55 in public schools, struggling with outdated resources and FSES compliance. They prioritize time-efficient solutions that integrate with Moscow’s "Electronic Diary" system.</w:t>
      </w:r>
    </w:p>
    <w:p>
      <w:pPr>
        <w:numPr>
          <w:ilvl w:val="0"/>
          <w:numId w:val="1003"/>
        </w:numPr>
        <w:pStyle w:val="Compact"/>
      </w:pPr>
      <w:r>
        <w:rPr>
          <w:bCs/>
          <w:b/>
        </w:rPr>
        <w:t xml:space="preserve">School Administrators (30% of target):</w:t>
      </w:r>
      <w:r>
        <w:t xml:space="preserve"> </w:t>
      </w:r>
      <w:r>
        <w:t xml:space="preserve">Principals and department heads under pressure to improve student outcomes ahead of Moscow’s annual educational quality audits. They seek turnkey professional development tools with measurable ROI.</w:t>
      </w:r>
    </w:p>
    <w:p>
      <w:pPr>
        <w:pStyle w:val="FirstParagraph"/>
      </w:pPr>
      <w:r>
        <w:t xml:space="preserve">Moscow-specific insights inform our approach: 82% of secondary teachers use Telegram for professional networking (vs. 65% nationally), making it a core communication channel. We avoid Western platforms like LinkedIn, which have limited adoption in Russia’s education sector.</w:t>
      </w:r>
    </w:p>
    <w:bookmarkEnd w:id="23"/>
    <w:bookmarkStart w:id="24" w:name="marketing-strategy-the-four-ps"/>
    <w:p>
      <w:pPr>
        <w:pStyle w:val="Heading2"/>
      </w:pPr>
      <w:r>
        <w:t xml:space="preserve">Marketing Strategy: The Four Ps</w:t>
      </w:r>
    </w:p>
    <w:p>
      <w:pPr>
        <w:pStyle w:val="FirstParagraph"/>
      </w:pPr>
      <w:r>
        <w:rPr>
          <w:bCs/>
          <w:b/>
        </w:rPr>
        <w:t xml:space="preserve">Product:</w:t>
      </w:r>
      <w:r>
        <w:t xml:space="preserve"> </w:t>
      </w:r>
      <w:r>
        <w:t xml:space="preserve">Teacher Secondary offers Moscow-specific modules developed with input from 150+ Moscow educators. Content aligns with the FSES and Moscow’s "School of the Future" framework, including:</w:t>
      </w:r>
      <w:r>
        <w:t xml:space="preserve"> </w:t>
      </w:r>
      <w:r>
        <w:t xml:space="preserve">• Real-time analytics tracking student progress against local curriculum benchmarks.</w:t>
      </w:r>
      <w:r>
        <w:t xml:space="preserve"> </w:t>
      </w:r>
      <w:r>
        <w:t xml:space="preserve">• Offline-accessible resources for schools with inconsistent internet (addressing a critical Moscow infrastructure gap).</w:t>
      </w:r>
      <w:r>
        <w:t xml:space="preserve"> </w:t>
      </w:r>
      <w:r>
        <w:t xml:space="preserve">• Bilingual Russian-English support for teachers in international schools (30% of Moscow’s secondary institutions).</w:t>
      </w:r>
    </w:p>
    <w:p>
      <w:pPr>
        <w:pStyle w:val="BodyText"/>
      </w:pPr>
      <w:r>
        <w:rPr>
          <w:bCs/>
          <w:b/>
        </w:rPr>
        <w:t xml:space="preserve">Pricing:</w:t>
      </w:r>
      <w:r>
        <w:t xml:space="preserve"> </w:t>
      </w:r>
      <w:r>
        <w:t xml:space="preserve">Tiered subscription model:</w:t>
      </w:r>
      <w:r>
        <w:t xml:space="preserve"> </w:t>
      </w:r>
      <w:r>
        <w:t xml:space="preserve">•</w:t>
      </w:r>
      <w:r>
        <w:t xml:space="preserve"> </w:t>
      </w:r>
      <w:r>
        <w:rPr>
          <w:iCs/>
          <w:i/>
        </w:rPr>
        <w:t xml:space="preserve">School Basic</w:t>
      </w:r>
      <w:r>
        <w:t xml:space="preserve">: ₽18,000/year (5 educators) – Includes core curriculum modules.</w:t>
      </w:r>
      <w:r>
        <w:t xml:space="preserve"> </w:t>
      </w:r>
      <w:r>
        <w:t xml:space="preserve">•</w:t>
      </w:r>
      <w:r>
        <w:t xml:space="preserve"> </w:t>
      </w:r>
      <w:r>
        <w:rPr>
          <w:iCs/>
          <w:i/>
        </w:rPr>
        <w:t xml:space="preserve">Advanced Moscow Package</w:t>
      </w:r>
      <w:r>
        <w:t xml:space="preserve">: ₽42,000/year (unlimited access + FSES compliance reports).</w:t>
      </w:r>
      <w:r>
        <w:t xml:space="preserve"> </w:t>
      </w:r>
      <w:r>
        <w:t xml:space="preserve">•</w:t>
      </w:r>
      <w:r>
        <w:t xml:space="preserve"> </w:t>
      </w:r>
      <w:r>
        <w:rPr>
          <w:iCs/>
          <w:i/>
        </w:rPr>
        <w:t xml:space="preserve">Government Partnership:</w:t>
      </w:r>
      <w:r>
        <w:t xml:space="preserve"> </w:t>
      </w:r>
      <w:r>
        <w:t xml:space="preserve">35% discount for schools affiliated with Moscow’s Department of Education (leveraging existing state contracts).</w:t>
      </w:r>
    </w:p>
    <w:p>
      <w:pPr>
        <w:pStyle w:val="BodyText"/>
      </w:pPr>
      <w:r>
        <w:rPr>
          <w:bCs/>
          <w:b/>
        </w:rPr>
        <w:t xml:space="preserve">Promotion:</w:t>
      </w:r>
      <w:r>
        <w:t xml:space="preserve"> </w:t>
      </w:r>
      <w:r>
        <w:t xml:space="preserve">Hyper-localized tactics for Moscow:</w:t>
      </w:r>
      <w:r>
        <w:t xml:space="preserve"> </w:t>
      </w:r>
      <w:r>
        <w:t xml:space="preserve">•</w:t>
      </w:r>
      <w:r>
        <w:t xml:space="preserve"> </w:t>
      </w:r>
      <w:r>
        <w:rPr>
          <w:iCs/>
          <w:i/>
        </w:rPr>
        <w:t xml:space="preserve">Partnerships:</w:t>
      </w:r>
      <w:r>
        <w:t xml:space="preserve"> </w:t>
      </w:r>
      <w:r>
        <w:t xml:space="preserve">Co-hosted workshops with Moscow Pedagogical University and the Center for Digital Education (Moscow).</w:t>
      </w:r>
      <w:r>
        <w:t xml:space="preserve"> </w:t>
      </w:r>
      <w:r>
        <w:t xml:space="preserve">•</w:t>
      </w:r>
      <w:r>
        <w:t xml:space="preserve"> </w:t>
      </w:r>
      <w:r>
        <w:rPr>
          <w:iCs/>
          <w:i/>
        </w:rPr>
        <w:t xml:space="preserve">Digital Campaigns:</w:t>
      </w:r>
      <w:r>
        <w:t xml:space="preserve"> </w:t>
      </w:r>
      <w:r>
        <w:t xml:space="preserve">Targeted Instagram/Telegram ads featuring Moscow teachers’ success stories (e.g., "How Krasnoselskaya Secondary School improved exam scores by 22% using Teacher Secondary").</w:t>
      </w:r>
      <w:r>
        <w:t xml:space="preserve"> </w:t>
      </w:r>
      <w:r>
        <w:t xml:space="preserve">•</w:t>
      </w:r>
      <w:r>
        <w:t xml:space="preserve"> </w:t>
      </w:r>
      <w:r>
        <w:rPr>
          <w:iCs/>
          <w:i/>
        </w:rPr>
        <w:t xml:space="preserve">Offline Outreach:</w:t>
      </w:r>
      <w:r>
        <w:t xml:space="preserve"> </w:t>
      </w:r>
      <w:r>
        <w:t xml:space="preserve">Booths at the Moscow Education Fair and training sessions at district education centers (e.g., Zelenograd, South-East District).</w:t>
      </w:r>
    </w:p>
    <w:p>
      <w:pPr>
        <w:pStyle w:val="BodyText"/>
      </w:pPr>
      <w:r>
        <w:rPr>
          <w:bCs/>
          <w:b/>
        </w:rPr>
        <w:t xml:space="preserve">Place:</w:t>
      </w:r>
      <w:r>
        <w:t xml:space="preserve"> </w:t>
      </w:r>
      <w:r>
        <w:t xml:space="preserve">Direct B2B sales via:</w:t>
      </w:r>
      <w:r>
        <w:t xml:space="preserve"> </w:t>
      </w:r>
      <w:r>
        <w:t xml:space="preserve">• Dedicated Moscow account managers for school negotiations.</w:t>
      </w:r>
      <w:r>
        <w:t xml:space="preserve"> </w:t>
      </w:r>
      <w:r>
        <w:t xml:space="preserve">• Integration with existing Moscow systems (e.g., "Moscow Electronic School" portal).</w:t>
      </w:r>
      <w:r>
        <w:t xml:space="preserve"> </w:t>
      </w:r>
      <w:r>
        <w:t xml:space="preserve">• Physical support hubs in key districts (e.g., Tverskoy, Krasnoselsky) for on-site training.</w:t>
      </w:r>
    </w:p>
    <w:bookmarkEnd w:id="24"/>
    <w:bookmarkStart w:id="25" w:name="budget-allocation-timeline"/>
    <w:p>
      <w:pPr>
        <w:pStyle w:val="Heading2"/>
      </w:pPr>
      <w:r>
        <w:t xml:space="preserve">Budget Allocation &amp; Timeline</w:t>
      </w:r>
    </w:p>
    <w:p>
      <w:pPr>
        <w:pStyle w:val="FirstParagraph"/>
      </w:pPr>
      <w:r>
        <w:t xml:space="preserve">Initial investment: ₽8.2 million ($91,000) for Year 1. Breakdown:</w:t>
      </w:r>
      <w:r>
        <w:t xml:space="preserve"> </w:t>
      </w:r>
      <w:r>
        <w:t xml:space="preserve">• 45%: Moscow-focused events and partnerships (e.g., fair booths, university collaborations).</w:t>
      </w:r>
      <w:r>
        <w:t xml:space="preserve"> </w:t>
      </w:r>
      <w:r>
        <w:t xml:space="preserve">• 30%: Content localization (Russian-language modules co-created with Moscow educators).</w:t>
      </w:r>
      <w:r>
        <w:t xml:space="preserve"> </w:t>
      </w:r>
      <w:r>
        <w:t xml:space="preserve">• 15%: Digital campaign targeting teachers on Telegram/Instagram.</w:t>
      </w:r>
      <w:r>
        <w:t xml:space="preserve"> </w:t>
      </w:r>
      <w:r>
        <w:t xml:space="preserve">• 10%: On-ground support teams in key Moscow districts.</w:t>
      </w:r>
    </w:p>
    <w:p>
      <w:pPr>
        <w:pStyle w:val="BodyText"/>
      </w:pPr>
      <w:r>
        <w:rPr>
          <w:bCs/>
          <w:b/>
        </w:rPr>
        <w:t xml:space="preserve">Timeline:</w:t>
      </w:r>
    </w:p>
    <w:p>
      <w:pPr>
        <w:numPr>
          <w:ilvl w:val="0"/>
          <w:numId w:val="1004"/>
        </w:numPr>
        <w:pStyle w:val="Compact"/>
      </w:pPr>
      <w:r>
        <w:rPr>
          <w:iCs/>
          <w:i/>
        </w:rPr>
        <w:t xml:space="preserve">Months 1–3:</w:t>
      </w:r>
      <w:r>
        <w:t xml:space="preserve"> </w:t>
      </w:r>
      <w:r>
        <w:t xml:space="preserve">Finalize partnerships with Moscow education authorities; launch pilot at 5 schools.</w:t>
      </w:r>
    </w:p>
    <w:p>
      <w:pPr>
        <w:numPr>
          <w:ilvl w:val="0"/>
          <w:numId w:val="1004"/>
        </w:numPr>
        <w:pStyle w:val="Compact"/>
      </w:pPr>
      <w:r>
        <w:rPr>
          <w:iCs/>
          <w:i/>
        </w:rPr>
        <w:t xml:space="preserve">Months 4–9:</w:t>
      </w:r>
      <w:r>
        <w:t xml:space="preserve"> </w:t>
      </w:r>
      <w:r>
        <w:t xml:space="preserve">Scale to 20 schools via district workshops; integrate with "Moscow Electronic School."</w:t>
      </w:r>
    </w:p>
    <w:p>
      <w:pPr>
        <w:numPr>
          <w:ilvl w:val="0"/>
          <w:numId w:val="1004"/>
        </w:numPr>
        <w:pStyle w:val="Compact"/>
      </w:pPr>
      <w:r>
        <w:rPr>
          <w:iCs/>
          <w:i/>
        </w:rPr>
        <w:t xml:space="preserve">Months 10–18:</w:t>
      </w:r>
      <w:r>
        <w:t xml:space="preserve"> </w:t>
      </w:r>
      <w:r>
        <w:t xml:space="preserve">Achieve full penetration in target districts (e.g., Eastern, Northern Moscow); secure government endorsement.</w:t>
      </w:r>
    </w:p>
    <w:bookmarkEnd w:id="25"/>
    <w:bookmarkStart w:id="26" w:name="X981d64391fcd2b9f00e3de7b1ae4f3b47a91ffe"/>
    <w:p>
      <w:pPr>
        <w:pStyle w:val="Heading2"/>
      </w:pPr>
      <w:r>
        <w:t xml:space="preserve">Measuring Success: Russia Moscow Alignment</w:t>
      </w:r>
    </w:p>
    <w:p>
      <w:pPr>
        <w:pStyle w:val="FirstParagraph"/>
      </w:pPr>
      <w:r>
        <w:t xml:space="preserve">We track metrics directly tied to Moscow’s educational goals:</w:t>
      </w:r>
      <w:r>
        <w:t xml:space="preserve"> </w:t>
      </w:r>
      <w:r>
        <w:t xml:space="preserve">•</w:t>
      </w:r>
      <w:r>
        <w:t xml:space="preserve"> </w:t>
      </w:r>
      <w:r>
        <w:rPr>
          <w:bCs/>
          <w:b/>
        </w:rPr>
        <w:t xml:space="preserve">FSES Compliance Rate:</w:t>
      </w:r>
      <w:r>
        <w:t xml:space="preserve"> </w:t>
      </w:r>
      <w:r>
        <w:t xml:space="preserve">% of schools using Teacher Secondary to meet annual audit requirements.</w:t>
      </w:r>
      <w:r>
        <w:t xml:space="preserve"> </w:t>
      </w:r>
      <w:r>
        <w:t xml:space="preserve">•</w:t>
      </w:r>
      <w:r>
        <w:t xml:space="preserve"> </w:t>
      </w:r>
      <w:r>
        <w:rPr>
          <w:bCs/>
          <w:b/>
        </w:rPr>
        <w:t xml:space="preserve">School Adoption Rate:</w:t>
      </w:r>
      <w:r>
        <w:t xml:space="preserve"> </w:t>
      </w:r>
      <w:r>
        <w:t xml:space="preserve">Number of Moscow public secondary institutions enrolled (vs. regional benchmarks).</w:t>
      </w:r>
      <w:r>
        <w:t xml:space="preserve"> </w:t>
      </w:r>
      <w:r>
        <w:t xml:space="preserve">•</w:t>
      </w:r>
      <w:r>
        <w:t xml:space="preserve"> </w:t>
      </w:r>
      <w:r>
        <w:rPr>
          <w:bCs/>
          <w:b/>
        </w:rPr>
        <w:t xml:space="preserve">Teacher Retention Impact:</w:t>
      </w:r>
      <w:r>
        <w:t xml:space="preserve"> </w:t>
      </w:r>
      <w:r>
        <w:t xml:space="preserve">Reduction in teacher turnover at partner schools (per Moscow Department of Education data).</w:t>
      </w:r>
      <w:r>
        <w:t xml:space="preserve"> </w:t>
      </w:r>
      <w:r>
        <w:t xml:space="preserve">Quarterly reports will be shared with the Moscow Department of Education to reinforce trust and strategic alignment.</w:t>
      </w:r>
    </w:p>
    <w:bookmarkEnd w:id="26"/>
    <w:bookmarkStart w:id="27" w:name="Xb76274273176809d5ab72c5028db2448d853235"/>
    <w:p>
      <w:pPr>
        <w:pStyle w:val="Heading2"/>
      </w:pPr>
      <w:r>
        <w:t xml:space="preserve">Why This Marketing Plan Succeeds in Russia Moscow</w:t>
      </w:r>
    </w:p>
    <w:p>
      <w:pPr>
        <w:pStyle w:val="FirstParagraph"/>
      </w:pPr>
      <w:r>
        <w:t xml:space="preserve">Unlike generic global edtech solutions, this plan embeds itself in Moscow’s education ecosystem. By prioritizing:</w:t>
      </w:r>
      <w:r>
        <w:t xml:space="preserve"> </w:t>
      </w:r>
      <w:r>
        <w:t xml:space="preserve">•</w:t>
      </w:r>
      <w:r>
        <w:t xml:space="preserve"> </w:t>
      </w:r>
      <w:r>
        <w:rPr>
          <w:bCs/>
          <w:b/>
        </w:rPr>
        <w:t xml:space="preserve">Cultural Relevance:</w:t>
      </w:r>
      <w:r>
        <w:t xml:space="preserve"> </w:t>
      </w:r>
      <w:r>
        <w:t xml:space="preserve">Content mirrors Moscow’s curriculum and classroom realities (e.g., addressing "Unified State Exam" preparation).</w:t>
      </w:r>
      <w:r>
        <w:t xml:space="preserve"> </w:t>
      </w:r>
      <w:r>
        <w:t xml:space="preserve">•</w:t>
      </w:r>
      <w:r>
        <w:t xml:space="preserve"> </w:t>
      </w:r>
      <w:r>
        <w:rPr>
          <w:bCs/>
          <w:b/>
        </w:rPr>
        <w:t xml:space="preserve">Regulatory Alignment:</w:t>
      </w:r>
      <w:r>
        <w:t xml:space="preserve"> </w:t>
      </w:r>
      <w:r>
        <w:t xml:space="preserve">Built to comply with Rosobrnadzor standards for Russian educational materials.</w:t>
      </w:r>
      <w:r>
        <w:t xml:space="preserve"> </w:t>
      </w:r>
      <w:r>
        <w:t xml:space="preserve">•</w:t>
      </w:r>
      <w:r>
        <w:t xml:space="preserve"> </w:t>
      </w:r>
      <w:r>
        <w:rPr>
          <w:bCs/>
          <w:b/>
        </w:rPr>
        <w:t xml:space="preserve">District-Specific Outreach:</w:t>
      </w:r>
      <w:r>
        <w:t xml:space="preserve"> </w:t>
      </w:r>
      <w:r>
        <w:t xml:space="preserve">Targeting Moscow’s 12 administrative districts ensures hyper-local relevance.</w:t>
      </w:r>
    </w:p>
    <w:p>
      <w:pPr>
        <w:pStyle w:val="BodyText"/>
      </w:pPr>
      <w:r>
        <w:t xml:space="preserve">The Marketing Plan for Teacher Secondary isn’t just a product launch—it’s a partnership with Moscow’s future. We position ourselves as the indispensable ally in modernizing secondary education, turning systemic challenges into measurable success for teachers and students across Russia's most influential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Teacher Secondary in Russia Moscow</dc:title>
  <dc:creator/>
  <dc:language>en</dc:language>
  <cp:keywords/>
  <dcterms:created xsi:type="dcterms:W3CDTF">2026-07-21T07:28:38Z</dcterms:created>
  <dcterms:modified xsi:type="dcterms:W3CDTF">2026-07-21T07:28:38Z</dcterms:modified>
</cp:coreProperties>
</file>

<file path=docProps/custom.xml><?xml version="1.0" encoding="utf-8"?>
<Properties xmlns="http://schemas.openxmlformats.org/officeDocument/2006/custom-properties" xmlns:vt="http://schemas.openxmlformats.org/officeDocument/2006/docPropsVTypes"/>
</file>