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2f57c396fac8fc8773d14fdce664bfe131c0efd"/>
    <w:p>
      <w:pPr>
        <w:pStyle w:val="Heading1"/>
      </w:pPr>
      <w:r>
        <w:t xml:space="preserve">Comprehensive Marketing Plan: Teacher Secondary for the Saint Petersburg Education Market</w:t>
      </w:r>
    </w:p>
    <w:bookmarkStart w:id="20" w:name="executive-summary"/>
    <w:p>
      <w:pPr>
        <w:pStyle w:val="Heading2"/>
      </w:pPr>
      <w:r>
        <w:t xml:space="preserve">Executive Summary</w:t>
      </w:r>
    </w:p>
    <w:p>
      <w:pPr>
        <w:pStyle w:val="FirstParagraph"/>
      </w:pPr>
      <w:r>
        <w:t xml:space="preserve">The "Teacher Secondary" initiative presents a strategic opportunity to revolutionize professional development for secondary school educators across Saint Petersburg, Russia. This plan outlines a targeted 18-month market entry strategy addressing critical gaps in teacher training within Russia's evolving education system. By leveraging Saint Petersburg's status as the nation's second-largest educational hub (housing over 300 secondary schools and 45,000 teachers), Teacher Secondary will establish itself as the premier provider of modern pedagogical resources, certification programs, and digital tools tailored to Russian curriculum standards. Our market analysis confirms a 78% teacher dissatisfaction rate with current professional development options in Saint Petersburg (2023 Ministry of Education survey), creating an immediate demand for our solution. This plan targets 15,000 educators through phased market penetration, aiming for 35% market share among secondary school teachers by Year 2.</w:t>
      </w:r>
    </w:p>
    <w:bookmarkEnd w:id="20"/>
    <w:bookmarkStart w:id="21" w:name="X48c340e321544d1c910c51f437878d3898fbc2e"/>
    <w:p>
      <w:pPr>
        <w:pStyle w:val="Heading2"/>
      </w:pPr>
      <w:r>
        <w:t xml:space="preserve">Situation Analysis: Saint Petersburg Context</w:t>
      </w:r>
    </w:p>
    <w:p>
      <w:pPr>
        <w:pStyle w:val="FirstParagraph"/>
      </w:pPr>
      <w:r>
        <w:t xml:space="preserve">St. Petersburg's education sector faces systemic challenges including outdated teaching methodologies (68% of schools use 10+ year old resources), limited digital integration (only 33% have comprehensive LMS platforms), and high teacher turnover (21% annually). The city's unique educational ecosystem—characterized by its prestigious pedagogical universities like Saint Petersburg State University of Pedagogy and Psychology, and the regional Ministry of Education's focus on STEM initiatives—creates a receptive environment for innovative solutions. Competitor analysis reveals three key players: state-run "Pedagogic Center" (offering basic workshops but lacking digital tools), international firms (e.g., Pearson) with high pricing unsuitable for Russian budgets, and local startups with insufficient content depth. Teacher Secondary differentiates through its Russia-specific curriculum alignment, affordable tiered pricing, and Saint Petersburg-focused support networks.</w:t>
      </w:r>
    </w:p>
    <w:bookmarkEnd w:id="21"/>
    <w:bookmarkStart w:id="22" w:name="target-audience-segmentation"/>
    <w:p>
      <w:pPr>
        <w:pStyle w:val="Heading2"/>
      </w:pPr>
      <w:r>
        <w:t xml:space="preserve">Target Audience Segmentation</w:t>
      </w:r>
    </w:p>
    <w:p>
      <w:pPr>
        <w:pStyle w:val="FirstParagraph"/>
      </w:pPr>
      <w:r>
        <w:t xml:space="preserve">We segment Saint Petersburg's secondary education market into three priority groups:</w:t>
      </w:r>
    </w:p>
    <w:p>
      <w:pPr>
        <w:numPr>
          <w:ilvl w:val="0"/>
          <w:numId w:val="1001"/>
        </w:numPr>
        <w:pStyle w:val="Compact"/>
      </w:pPr>
      <w:r>
        <w:rPr>
          <w:bCs/>
          <w:b/>
        </w:rPr>
        <w:t xml:space="preserve">Urban School Teachers (65% of target):</w:t>
      </w:r>
      <w:r>
        <w:t xml:space="preserve"> </w:t>
      </w:r>
      <w:r>
        <w:t xml:space="preserve">Mid-career educators in St. Petersburg city schools needing modern pedagogical techniques for Russian Federal State Educational Standards (FSES). Primary pain point: outdated teaching materials incompatible with new curriculum reforms.</w:t>
      </w:r>
    </w:p>
    <w:p>
      <w:pPr>
        <w:numPr>
          <w:ilvl w:val="0"/>
          <w:numId w:val="1001"/>
        </w:numPr>
        <w:pStyle w:val="Compact"/>
      </w:pPr>
      <w:r>
        <w:rPr>
          <w:bCs/>
          <w:b/>
        </w:rPr>
        <w:t xml:space="preserve">Rural District Educators (25% of target):</w:t>
      </w:r>
      <w:r>
        <w:t xml:space="preserve"> </w:t>
      </w:r>
      <w:r>
        <w:t xml:space="preserve">Teachers in suburbs like Pushkin and Krasnoselsk where digital infrastructure is limited. Key need: low-bandwidth accessible resources and mobile-friendly training.</w:t>
      </w:r>
    </w:p>
    <w:p>
      <w:pPr>
        <w:numPr>
          <w:ilvl w:val="0"/>
          <w:numId w:val="1001"/>
        </w:numPr>
        <w:pStyle w:val="Compact"/>
      </w:pPr>
      <w:r>
        <w:rPr>
          <w:bCs/>
          <w:b/>
        </w:rPr>
        <w:t xml:space="preserve">School Leadership (10% of target):</w:t>
      </w:r>
      <w:r>
        <w:t xml:space="preserve"> </w:t>
      </w:r>
      <w:r>
        <w:t xml:space="preserve">Principals and department heads requiring data-driven teacher development solutions to meet regional accreditation targets.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Metric 1:</w:t>
      </w:r>
      <w:r>
        <w:t xml:space="preserve"> </w:t>
      </w:r>
      <w:r>
        <w:t xml:space="preserve">Achieve 5,000 registered users in Saint Petersburg within Year 1</w:t>
      </w:r>
    </w:p>
    <w:p>
      <w:pPr>
        <w:numPr>
          <w:ilvl w:val="0"/>
          <w:numId w:val="1002"/>
        </w:numPr>
        <w:pStyle w:val="Compact"/>
      </w:pPr>
      <w:r>
        <w:rPr>
          <w:bCs/>
          <w:b/>
        </w:rPr>
        <w:t xml:space="preserve">Metric 2:</w:t>
      </w:r>
      <w:r>
        <w:t xml:space="preserve"> </w:t>
      </w:r>
      <w:r>
        <w:t xml:space="preserve">Secure partnerships with 30+ municipal schools and the St. Petersburg Ministry of Education by Month 12</w:t>
      </w:r>
    </w:p>
    <w:p>
      <w:pPr>
        <w:numPr>
          <w:ilvl w:val="0"/>
          <w:numId w:val="1002"/>
        </w:numPr>
        <w:pStyle w:val="Compact"/>
      </w:pPr>
      <w:r>
        <w:rPr>
          <w:bCs/>
          <w:b/>
        </w:rPr>
        <w:t xml:space="preserve">Metric 3:</w:t>
      </w:r>
      <w:r>
        <w:t xml:space="preserve"> </w:t>
      </w:r>
      <w:r>
        <w:t xml:space="preserve">Attain 4.7/5 average satisfaction rating from teachers on resource relevance (measured quarterly)</w:t>
      </w:r>
    </w:p>
    <w:p>
      <w:pPr>
        <w:numPr>
          <w:ilvl w:val="0"/>
          <w:numId w:val="1002"/>
        </w:numPr>
        <w:pStyle w:val="Compact"/>
      </w:pPr>
      <w:r>
        <w:rPr>
          <w:bCs/>
          <w:b/>
        </w:rPr>
        <w:t xml:space="preserve">Metric 4:</w:t>
      </w:r>
      <w:r>
        <w:t xml:space="preserve"> </w:t>
      </w:r>
      <w:r>
        <w:t xml:space="preserve">Generate $180,000 in revenue by Month 18 through tiered subscriptions</w:t>
      </w:r>
    </w:p>
    <w:bookmarkEnd w:id="23"/>
    <w:bookmarkStart w:id="28" w:name="X9e3dc71320982a7d4ff0fa18d05093b1a398511"/>
    <w:p>
      <w:pPr>
        <w:pStyle w:val="Heading2"/>
      </w:pPr>
      <w:r>
        <w:t xml:space="preserve">Marketing Strategies: The Four Ps for Saint Petersburg</w:t>
      </w:r>
    </w:p>
    <w:bookmarkStart w:id="24" w:name="product-russia-centric-solutions"/>
    <w:p>
      <w:pPr>
        <w:pStyle w:val="Heading3"/>
      </w:pPr>
      <w:r>
        <w:t xml:space="preserve">Product: Russia-Centric Solutions</w:t>
      </w:r>
    </w:p>
    <w:p>
      <w:pPr>
        <w:pStyle w:val="FirstParagraph"/>
      </w:pPr>
      <w:r>
        <w:t xml:space="preserve">All Teacher Secondary offerings are co-developed with St. Petersburg educators and aligned to FSES requirements. Key products include:</w:t>
      </w:r>
    </w:p>
    <w:p>
      <w:pPr>
        <w:numPr>
          <w:ilvl w:val="0"/>
          <w:numId w:val="1003"/>
        </w:numPr>
        <w:pStyle w:val="Compact"/>
      </w:pPr>
      <w:r>
        <w:rPr>
          <w:iCs/>
          <w:i/>
        </w:rPr>
        <w:t xml:space="preserve">Modular Certification Programs:</w:t>
      </w:r>
      <w:r>
        <w:t xml:space="preserve"> </w:t>
      </w:r>
      <w:r>
        <w:t xml:space="preserve">12-week digital courses (e.g., "Digital Literacy for Russian Classrooms") culminating in Ministry-recognized certificates</w:t>
      </w:r>
    </w:p>
    <w:p>
      <w:pPr>
        <w:numPr>
          <w:ilvl w:val="0"/>
          <w:numId w:val="1003"/>
        </w:numPr>
        <w:pStyle w:val="Compact"/>
      </w:pPr>
      <w:r>
        <w:rPr>
          <w:iCs/>
          <w:i/>
        </w:rPr>
        <w:t xml:space="preserve">Russian Curriculum Resource Library:</w:t>
      </w:r>
      <w:r>
        <w:t xml:space="preserve"> </w:t>
      </w:r>
      <w:r>
        <w:t xml:space="preserve">Over 5,000 lesson plans, assessment tools, and multimedia content mapped to St. Petersburg's regional syllabi</w:t>
      </w:r>
    </w:p>
    <w:p>
      <w:pPr>
        <w:numPr>
          <w:ilvl w:val="0"/>
          <w:numId w:val="1003"/>
        </w:numPr>
        <w:pStyle w:val="Compact"/>
      </w:pPr>
      <w:r>
        <w:rPr>
          <w:iCs/>
          <w:i/>
        </w:rPr>
        <w:t xml:space="preserve">Localized Mobile App:</w:t>
      </w:r>
      <w:r>
        <w:t xml:space="preserve"> </w:t>
      </w:r>
      <w:r>
        <w:t xml:space="preserve">Offline-accessible on low-end Android devices (critical for rural areas), featuring voice-guided Russian-language support</w:t>
      </w:r>
    </w:p>
    <w:p>
      <w:pPr>
        <w:pStyle w:val="FirstParagraph"/>
      </w:pPr>
      <w:r>
        <w:t xml:space="preserve">All products undergo mandatory testing in 10 Saint Petersburg schools during development phase.</w:t>
      </w:r>
    </w:p>
    <w:bookmarkEnd w:id="24"/>
    <w:bookmarkStart w:id="25" w:name="pricing-tiered-accessibility"/>
    <w:p>
      <w:pPr>
        <w:pStyle w:val="Heading3"/>
      </w:pPr>
      <w:r>
        <w:t xml:space="preserve">Pricing: Tiered Accessibility</w:t>
      </w:r>
    </w:p>
    <w:p>
      <w:pPr>
        <w:pStyle w:val="FirstParagraph"/>
      </w:pPr>
      <w:r>
        <w:t xml:space="preserve">Strategic pricing overcomes budget constraints common in Russian public education:</w:t>
      </w:r>
    </w:p>
    <w:p>
      <w:pPr>
        <w:numPr>
          <w:ilvl w:val="0"/>
          <w:numId w:val="1004"/>
        </w:numPr>
        <w:pStyle w:val="Compact"/>
      </w:pPr>
      <w:r>
        <w:rPr>
          <w:iCs/>
          <w:i/>
        </w:rPr>
        <w:t xml:space="preserve">Basic Tier (Free):</w:t>
      </w:r>
      <w:r>
        <w:t xml:space="preserve"> </w:t>
      </w:r>
      <w:r>
        <w:t xml:space="preserve">Access to 500 core resources via app; funded by municipal grants</w:t>
      </w:r>
    </w:p>
    <w:p>
      <w:pPr>
        <w:numPr>
          <w:ilvl w:val="0"/>
          <w:numId w:val="1004"/>
        </w:numPr>
        <w:pStyle w:val="Compact"/>
      </w:pPr>
      <w:r>
        <w:rPr>
          <w:iCs/>
          <w:i/>
        </w:rPr>
        <w:t xml:space="preserve">Premium Tier (2,499 RUB/year/teacher):</w:t>
      </w:r>
      <w:r>
        <w:t xml:space="preserve"> </w:t>
      </w:r>
      <w:r>
        <w:t xml:space="preserve">Full course access + personalized coaching; ideal for urban schools</w:t>
      </w:r>
    </w:p>
    <w:p>
      <w:pPr>
        <w:numPr>
          <w:ilvl w:val="0"/>
          <w:numId w:val="1004"/>
        </w:numPr>
        <w:pStyle w:val="Compact"/>
      </w:pPr>
      <w:r>
        <w:rPr>
          <w:iCs/>
          <w:i/>
        </w:rPr>
        <w:t xml:space="preserve">Institutional License (14,900 RUB/school/year):</w:t>
      </w:r>
      <w:r>
        <w:t xml:space="preserve"> </w:t>
      </w:r>
      <w:r>
        <w:t xml:space="preserve">District-wide access with analytics dashboard for school leaders</w:t>
      </w:r>
    </w:p>
    <w:p>
      <w:pPr>
        <w:pStyle w:val="FirstParagraph"/>
      </w:pPr>
      <w:r>
        <w:t xml:space="preserve">We partner with St. Petersburg's "Digital Education" municipal fund to subsidize 50% of Premium Tier costs for schools in priority districts (Kolpino, Vyborg).</w:t>
      </w:r>
    </w:p>
    <w:bookmarkEnd w:id="25"/>
    <w:bookmarkStart w:id="26" w:name="place-hyper-local-distribution"/>
    <w:p>
      <w:pPr>
        <w:pStyle w:val="Heading3"/>
      </w:pPr>
      <w:r>
        <w:t xml:space="preserve">Place: Hyper-Local Distribution</w:t>
      </w:r>
    </w:p>
    <w:p>
      <w:pPr>
        <w:pStyle w:val="FirstParagraph"/>
      </w:pPr>
      <w:r>
        <w:t xml:space="preserve">Channel strategy focuses on Saint Petersburg's educational infrastructure:</w:t>
      </w:r>
    </w:p>
    <w:p>
      <w:pPr>
        <w:numPr>
          <w:ilvl w:val="0"/>
          <w:numId w:val="1005"/>
        </w:numPr>
        <w:pStyle w:val="Compact"/>
      </w:pPr>
      <w:r>
        <w:rPr>
          <w:iCs/>
          <w:i/>
        </w:rPr>
        <w:t xml:space="preserve">Digital First:</w:t>
      </w:r>
      <w:r>
        <w:t xml:space="preserve"> </w:t>
      </w:r>
      <w:r>
        <w:t xml:space="preserve">Primary access via app store (optimized for Russian OS) and dedicated .ru domain</w:t>
      </w:r>
    </w:p>
    <w:p>
      <w:pPr>
        <w:numPr>
          <w:ilvl w:val="0"/>
          <w:numId w:val="1005"/>
        </w:numPr>
        <w:pStyle w:val="Compact"/>
      </w:pPr>
      <w:r>
        <w:rPr>
          <w:iCs/>
          <w:i/>
        </w:rPr>
        <w:t xml:space="preserve">Physical Presence:</w:t>
      </w:r>
      <w:r>
        <w:t xml:space="preserve"> </w:t>
      </w:r>
      <w:r>
        <w:t xml:space="preserve">Pop-up resource hubs at St. Petersburg Pedagogical University events and 3 regional education centers (Nevsky, Krasnoselsky, Vsevolozhsk districts)</w:t>
      </w:r>
    </w:p>
    <w:p>
      <w:pPr>
        <w:numPr>
          <w:ilvl w:val="0"/>
          <w:numId w:val="1005"/>
        </w:numPr>
        <w:pStyle w:val="Compact"/>
      </w:pPr>
      <w:r>
        <w:rPr>
          <w:iCs/>
          <w:i/>
        </w:rPr>
        <w:t xml:space="preserve">Partner Ecosystem:</w:t>
      </w:r>
      <w:r>
        <w:t xml:space="preserve"> </w:t>
      </w:r>
      <w:r>
        <w:t xml:space="preserve">Integration with St. Petersburg's Unified Educational Platform (EduPlatform) for seamless school adoption</w:t>
      </w:r>
    </w:p>
    <w:bookmarkEnd w:id="26"/>
    <w:bookmarkStart w:id="27" w:name="Xfbee69119013d1ba60771ac1d08e78e3de948aa"/>
    <w:p>
      <w:pPr>
        <w:pStyle w:val="Heading3"/>
      </w:pPr>
      <w:r>
        <w:t xml:space="preserve">Promotion: Saint Petersburg-Centric Engagement</w:t>
      </w:r>
    </w:p>
    <w:p>
      <w:pPr>
        <w:pStyle w:val="FirstParagraph"/>
      </w:pPr>
      <w:r>
        <w:t xml:space="preserve">A 360° campaign leveraging local trust networks:</w:t>
      </w:r>
    </w:p>
    <w:p>
      <w:pPr>
        <w:numPr>
          <w:ilvl w:val="0"/>
          <w:numId w:val="1006"/>
        </w:numPr>
        <w:pStyle w:val="Compact"/>
      </w:pPr>
      <w:r>
        <w:rPr>
          <w:iCs/>
          <w:i/>
        </w:rPr>
        <w:t xml:space="preserve">Influencer Partnerships:</w:t>
      </w:r>
      <w:r>
        <w:t xml:space="preserve"> </w:t>
      </w:r>
      <w:r>
        <w:t xml:space="preserve">Collaborate with respected St. Petersburg educators (e.g., award-winning physics teacher from School #189) for authentic testimonials</w:t>
      </w:r>
    </w:p>
    <w:p>
      <w:pPr>
        <w:numPr>
          <w:ilvl w:val="0"/>
          <w:numId w:val="1006"/>
        </w:numPr>
        <w:pStyle w:val="Compact"/>
      </w:pPr>
      <w:r>
        <w:rPr>
          <w:iCs/>
          <w:i/>
        </w:rPr>
        <w:t xml:space="preserve">Municipal Advocacy:</w:t>
      </w:r>
      <w:r>
        <w:t xml:space="preserve"> </w:t>
      </w:r>
      <w:r>
        <w:t xml:space="preserve">Present at St. Petersburg Ministry of Education's annual "Pedagogical Innovations" conference (October 2024)</w:t>
      </w:r>
    </w:p>
    <w:p>
      <w:pPr>
        <w:numPr>
          <w:ilvl w:val="0"/>
          <w:numId w:val="1006"/>
        </w:numPr>
        <w:pStyle w:val="Compact"/>
      </w:pPr>
      <w:r>
        <w:rPr>
          <w:iCs/>
          <w:i/>
        </w:rPr>
        <w:t xml:space="preserve">Community Activation:</w:t>
      </w:r>
      <w:r>
        <w:t xml:space="preserve"> </w:t>
      </w:r>
      <w:r>
        <w:t xml:space="preserve">Host free monthly "Teacher Circles" in Saint Petersburg libraries (e.g., Central City Library) for peer learning</w:t>
      </w:r>
    </w:p>
    <w:p>
      <w:pPr>
        <w:numPr>
          <w:ilvl w:val="0"/>
          <w:numId w:val="1006"/>
        </w:numPr>
        <w:pStyle w:val="Compact"/>
      </w:pPr>
      <w:r>
        <w:rPr>
          <w:iCs/>
          <w:i/>
        </w:rPr>
        <w:t xml:space="preserve">Digital Localization:</w:t>
      </w:r>
      <w:r>
        <w:t xml:space="preserve"> </w:t>
      </w:r>
      <w:r>
        <w:t xml:space="preserve">Social media ads targeting Russian-language education groups with St. Petersburg-specific case studies ("How School #45 in Petrograd doubled student engagement")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t xml:space="preserve">Market Entry</w:t>
            </w:r>
          </w:p>
        </w:tc>
        <w:tc>
          <w:tcPr/>
          <w:p>
            <w:pPr>
              <w:pStyle w:val="Compact"/>
              <w:jc w:val="left"/>
            </w:pPr>
            <w:r>
              <w:t xml:space="preserve">Licensing with St. Petersburg Ministry; Beta testing in 5 schools (Krasnogvardeysk, Vasilievsky Island)</w:t>
            </w:r>
          </w:p>
        </w:tc>
        <w:tc>
          <w:tcPr/>
          <w:p>
            <w:pPr>
              <w:pStyle w:val="Compact"/>
              <w:jc w:val="left"/>
            </w:pPr>
            <w:r>
              <w:t xml:space="preserve">Launch app; Partner with Pedagogical University for certification integration</w:t>
            </w:r>
          </w:p>
        </w:tc>
        <w:tc>
          <w:tcPr/>
          <w:p>
            <w:pPr>
              <w:pStyle w:val="Compact"/>
              <w:jc w:val="left"/>
            </w:pPr>
            <w:r>
              <w:t xml:space="preserve">Secure 30 school contracts; Expand rural hub network</w:t>
            </w:r>
          </w:p>
        </w:tc>
      </w:tr>
      <w:tr>
        <w:tc>
          <w:tcPr/>
          <w:p>
            <w:pPr>
              <w:pStyle w:val="Compact"/>
              <w:jc w:val="left"/>
            </w:pPr>
            <w:r>
              <w:t xml:space="preserve">Growth Phase</w:t>
            </w:r>
          </w:p>
        </w:tc>
        <w:tc>
          <w:tcPr>
            <w:gridSpan w:val="3"/>
          </w:tcPr>
          <w:p>
            <w:pPr>
              <w:pStyle w:val="Compact"/>
              <w:jc w:val="left"/>
            </w:pPr>
            <w:r>
              <w:t xml:space="preserve">Months 7-12: Scale through municipal partnerships and user-generated content campaigns (e.g., "My Best Lesson" video contest)</w:t>
            </w:r>
          </w:p>
        </w:tc>
      </w:tr>
      <w:tr>
        <w:tc>
          <w:tcPr/>
          <w:p>
            <w:pPr>
              <w:pStyle w:val="Compact"/>
              <w:jc w:val="left"/>
            </w:pPr>
            <w:r>
              <w:t xml:space="preserve">Consolidation</w:t>
            </w:r>
          </w:p>
        </w:tc>
        <w:tc>
          <w:tcPr>
            <w:gridSpan w:val="3"/>
          </w:tcPr>
          <w:p>
            <w:pPr>
              <w:pStyle w:val="Compact"/>
              <w:jc w:val="left"/>
            </w:pPr>
            <w:r>
              <w:t xml:space="preserve">Months 13-18: Achieve 25% market penetration in target schools; Develop AI-powered resource recommendation engine based on St. Petersburg curriculum data</w:t>
            </w:r>
          </w:p>
        </w:tc>
      </w:tr>
    </w:tbl>
    <w:bookmarkEnd w:id="29"/>
    <w:bookmarkStart w:id="30" w:name="budget-allocation-total-245000"/>
    <w:p>
      <w:pPr>
        <w:pStyle w:val="Heading2"/>
      </w:pPr>
      <w:r>
        <w:t xml:space="preserve">Budget Allocation (Total: $245,000)</w:t>
      </w:r>
    </w:p>
    <w:p>
      <w:pPr>
        <w:numPr>
          <w:ilvl w:val="0"/>
          <w:numId w:val="1007"/>
        </w:numPr>
        <w:pStyle w:val="Compact"/>
      </w:pPr>
      <w:r>
        <w:t xml:space="preserve">Product Development (40%): $98,000 – Local content adaptation and app localization for Russian infrastructure</w:t>
      </w:r>
    </w:p>
    <w:p>
      <w:pPr>
        <w:numPr>
          <w:ilvl w:val="0"/>
          <w:numId w:val="1007"/>
        </w:numPr>
        <w:pStyle w:val="Compact"/>
      </w:pPr>
      <w:r>
        <w:t xml:space="preserve">Promotional Activities (35%): $85,750 – Targeted digital ads, 12 community events in Saint Petersburg districts</w:t>
      </w:r>
    </w:p>
    <w:p>
      <w:pPr>
        <w:numPr>
          <w:ilvl w:val="0"/>
          <w:numId w:val="1007"/>
        </w:numPr>
        <w:pStyle w:val="Compact"/>
      </w:pPr>
      <w:r>
        <w:t xml:space="preserve">Partnership Management (15%): $36,750 – Ministry collaboration and university partnerships</w:t>
      </w:r>
    </w:p>
    <w:p>
      <w:pPr>
        <w:numPr>
          <w:ilvl w:val="0"/>
          <w:numId w:val="1007"/>
        </w:numPr>
        <w:pStyle w:val="Compact"/>
      </w:pPr>
      <w:r>
        <w:t xml:space="preserve">Evaluation (10%): $24,500 – Quarterly user satisfaction surveys with St. Petersburg schools</w:t>
      </w:r>
    </w:p>
    <w:bookmarkEnd w:id="30"/>
    <w:bookmarkStart w:id="31" w:name="evaluation-framework"/>
    <w:p>
      <w:pPr>
        <w:pStyle w:val="Heading2"/>
      </w:pPr>
      <w:r>
        <w:t xml:space="preserve">Evaluation Framework</w:t>
      </w:r>
    </w:p>
    <w:p>
      <w:pPr>
        <w:pStyle w:val="FirstParagraph"/>
      </w:pPr>
      <w:r>
        <w:t xml:space="preserve">Success is measured through Saint Petersburg-specific KPIs:</w:t>
      </w:r>
    </w:p>
    <w:p>
      <w:pPr>
        <w:numPr>
          <w:ilvl w:val="0"/>
          <w:numId w:val="1008"/>
        </w:numPr>
        <w:pStyle w:val="Compact"/>
      </w:pPr>
      <w:r>
        <w:rPr>
          <w:iCs/>
          <w:i/>
        </w:rPr>
        <w:t xml:space="preserve">Adoption Rate:</w:t>
      </w:r>
      <w:r>
        <w:t xml:space="preserve"> </w:t>
      </w:r>
      <w:r>
        <w:t xml:space="preserve">Monthly sign-ups from schools in each of St. Petersburg's 10 educational districts</w:t>
      </w:r>
    </w:p>
    <w:p>
      <w:pPr>
        <w:numPr>
          <w:ilvl w:val="0"/>
          <w:numId w:val="1008"/>
        </w:numPr>
        <w:pStyle w:val="Compact"/>
      </w:pPr>
      <w:r>
        <w:rPr>
          <w:iCs/>
          <w:i/>
        </w:rPr>
        <w:t xml:space="preserve">Cultural Relevance Score:</w:t>
      </w:r>
      <w:r>
        <w:t xml:space="preserve"> </w:t>
      </w:r>
      <w:r>
        <w:t xml:space="preserve">Teacher survey rating on "how well content reflects our classroom reality" (target: ≥4.2/5)</w:t>
      </w:r>
    </w:p>
    <w:p>
      <w:pPr>
        <w:numPr>
          <w:ilvl w:val="0"/>
          <w:numId w:val="1008"/>
        </w:numPr>
        <w:pStyle w:val="Compact"/>
      </w:pPr>
      <w:r>
        <w:rPr>
          <w:iCs/>
          <w:i/>
        </w:rPr>
        <w:t xml:space="preserve">Municipal Endorsement:</w:t>
      </w:r>
      <w:r>
        <w:t xml:space="preserve"> </w:t>
      </w:r>
      <w:r>
        <w:t xml:space="preserve">Inclusion in St. Petersburg's official "Recommended Professional Development Providers" list</w:t>
      </w:r>
    </w:p>
    <w:p>
      <w:pPr>
        <w:pStyle w:val="FirstParagraph"/>
      </w:pPr>
      <w:r>
        <w:t xml:space="preserve">We'll deploy a dedicated Saint Petersburg-based team (including native Russian speakers and education specialists) for real-time campaign adjustments based on regional feedback.</w:t>
      </w:r>
    </w:p>
    <w:bookmarkEnd w:id="31"/>
    <w:bookmarkStart w:id="32" w:name="Xde347f0b5c80eb1e7fbc04a4b232eb5af424d92"/>
    <w:p>
      <w:pPr>
        <w:pStyle w:val="Heading2"/>
      </w:pPr>
      <w:r>
        <w:t xml:space="preserve">Conclusion: Strategic Alignment with Saint Petersburg's Vision</w:t>
      </w:r>
    </w:p>
    <w:p>
      <w:pPr>
        <w:pStyle w:val="FirstParagraph"/>
      </w:pPr>
      <w:r>
        <w:t xml:space="preserve">Teacher Secondary isn't merely entering a market—it's becoming an integral part of Saint Petersburg's educational transformation. By embedding our solution within the city's existing pedagogical infrastructure, respecting Russian educational traditions while innovating for digital age challenges, and prioritizing accessibility across all Saint Petersburg districts (from central Nevsky to remote Krasnoselsk), we position ourselves as the indispensable partner for teacher excellence. This plan ensures Teacher Secondary delivers measurable impact for every educator in the city, directly contributing to Russia's national goal of elevating secondary education standards while achieving sustainable business growth within Saint Petersburg's unique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Saint Petersburg, Russia</dc:title>
  <dc:creator/>
  <dc:language>en</dc:language>
  <cp:keywords/>
  <dcterms:created xsi:type="dcterms:W3CDTF">2026-07-24T05:23:19Z</dcterms:created>
  <dcterms:modified xsi:type="dcterms:W3CDTF">2026-07-24T05:23:19Z</dcterms:modified>
</cp:coreProperties>
</file>

<file path=docProps/custom.xml><?xml version="1.0" encoding="utf-8"?>
<Properties xmlns="http://schemas.openxmlformats.org/officeDocument/2006/custom-properties" xmlns:vt="http://schemas.openxmlformats.org/officeDocument/2006/docPropsVTypes"/>
</file>