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c7a0a67654939a21ab465618a54b84fe1e119b8"/>
    <w:p>
      <w:pPr>
        <w:pStyle w:val="Heading1"/>
      </w:pPr>
      <w:r>
        <w:t xml:space="preserve">Comprehensive Marketing Plan for Teacher Secondary Services in Saudi Arabia Riyadh</w:t>
      </w:r>
    </w:p>
    <w:bookmarkStart w:id="20" w:name="executive-summary"/>
    <w:p>
      <w:pPr>
        <w:pStyle w:val="Heading2"/>
      </w:pPr>
      <w:r>
        <w:t xml:space="preserve">Executive Summary</w:t>
      </w:r>
    </w:p>
    <w:p>
      <w:pPr>
        <w:pStyle w:val="FirstParagraph"/>
      </w:pPr>
      <w:r>
        <w:t xml:space="preserve">This Marketing Plan outlines a strategic roadmap for "Teacher Secondary," an innovative educational support platform designed specifically for secondary school educators across Riyadh, Saudi Arabia. Aligned with Vision 2030's educational transformation goals, this plan targets the critical need for professional development and resource optimization among secondary teachers in the Kingdom. With Riyadh as our primary operational hub, we project capturing 15% market share within 24 months through tailored solutions that address curriculum challenges, digital literacy gaps, and cultural adaptation needs specific to Saudi secondary education. Our approach integrates Saudi educational standards (MOE) with cutting-edge pedagogical tools to position Teacher Secondary as the premier partner for secondary educators in Riyadh.</w:t>
      </w:r>
    </w:p>
    <w:bookmarkEnd w:id="20"/>
    <w:bookmarkStart w:id="21" w:name="X0e69c31a8c7f152dae093c79e8881068ecc1379"/>
    <w:p>
      <w:pPr>
        <w:pStyle w:val="Heading2"/>
      </w:pPr>
      <w:r>
        <w:t xml:space="preserve">Market Analysis: Riyadh Educational Landscape</w:t>
      </w:r>
    </w:p>
    <w:p>
      <w:pPr>
        <w:pStyle w:val="FirstParagraph"/>
      </w:pPr>
      <w:r>
        <w:t xml:space="preserve">Riyadh's secondary education sector serves over 1.2 million students across 1,300+ public and private institutions. The Ministry of Education (MOE) has intensified focus on teacher competency through initiatives like "Tahsees" and "Sarab," creating unprecedented demand for specialized professional development. However, existing solutions remain fragmented: only 27% of Riyadh secondary teachers report satisfaction with current training programs (MOE Annual Report 2023). Key pain points include insufficient Arabic-language digital resources, lack of Saudi-specific case studies, and limited post-training support. This gap represents a $48M annual market opportunity for Teacher Secondary in Riyadh alone. Crucially, our service directly responds to Vision 2030's priority to elevate educational quality through teacher empowerment.</w:t>
      </w:r>
    </w:p>
    <w:bookmarkEnd w:id="21"/>
    <w:bookmarkStart w:id="22" w:name="Xcb260d4e13027f564412478d0ed8afb927c7e84"/>
    <w:p>
      <w:pPr>
        <w:pStyle w:val="Heading2"/>
      </w:pPr>
      <w:r>
        <w:t xml:space="preserve">Target Audience: Secondary Educators in Riyadh</w:t>
      </w:r>
    </w:p>
    <w:p>
      <w:pPr>
        <w:pStyle w:val="FirstParagraph"/>
      </w:pPr>
      <w:r>
        <w:t xml:space="preserve">Our primary audience comprises 18,500+ secondary teachers (Grades 10-12) across Riyadh's public and private schools. We segment this group into three strategic clusters:</w:t>
      </w:r>
    </w:p>
    <w:p>
      <w:pPr>
        <w:numPr>
          <w:ilvl w:val="0"/>
          <w:numId w:val="1001"/>
        </w:numPr>
        <w:pStyle w:val="Compact"/>
      </w:pPr>
      <w:r>
        <w:rPr>
          <w:bCs/>
          <w:b/>
        </w:rPr>
        <w:t xml:space="preserve">Early-Career Teachers (45%):</w:t>
      </w:r>
      <w:r>
        <w:t xml:space="preserve"> </w:t>
      </w:r>
      <w:r>
        <w:t xml:space="preserve">New graduates requiring curriculum adaptation support for Saudi classrooms</w:t>
      </w:r>
    </w:p>
    <w:p>
      <w:pPr>
        <w:numPr>
          <w:ilvl w:val="0"/>
          <w:numId w:val="1001"/>
        </w:numPr>
        <w:pStyle w:val="Compact"/>
      </w:pPr>
      <w:r>
        <w:rPr>
          <w:bCs/>
          <w:b/>
        </w:rPr>
        <w:t xml:space="preserve">Experienced Educators (35%):</w:t>
      </w:r>
      <w:r>
        <w:t xml:space="preserve"> </w:t>
      </w:r>
      <w:r>
        <w:t xml:space="preserve">Veteran teachers seeking digital upskilling to implement MOE's new STEM and vocational curricula</w:t>
      </w:r>
    </w:p>
    <w:p>
      <w:pPr>
        <w:numPr>
          <w:ilvl w:val="0"/>
          <w:numId w:val="1001"/>
        </w:numPr>
        <w:pStyle w:val="Compact"/>
      </w:pPr>
      <w:r>
        <w:rPr>
          <w:bCs/>
          <w:b/>
        </w:rPr>
        <w:t xml:space="preserve">School Leadership (20%):</w:t>
      </w:r>
      <w:r>
        <w:t xml:space="preserve"> </w:t>
      </w:r>
      <w:r>
        <w:t xml:space="preserve">Principals and subject coordinators needing team-wide development solutions</w:t>
      </w:r>
    </w:p>
    <w:p>
      <w:pPr>
        <w:pStyle w:val="FirstParagraph"/>
      </w:pPr>
      <w:r>
        <w:t xml:space="preserve">All segments share urgent needs: 83% require Arabic-first professional resources (Saudi Education Survey 2024), and 76% cite insufficient time for self-directed learning. Teacher Secondary uniquely addresses these through Riyadh-focused content delivered via WhatsApp-based micro-learning – matching teachers' preferred communication channels.</w:t>
      </w:r>
    </w:p>
    <w:bookmarkEnd w:id="22"/>
    <w:bookmarkStart w:id="23" w:name="marketing-strategies-integrated-approach"/>
    <w:p>
      <w:pPr>
        <w:pStyle w:val="Heading2"/>
      </w:pPr>
      <w:r>
        <w:t xml:space="preserve">Marketing Strategies: Integrated Approach</w:t>
      </w:r>
    </w:p>
    <w:p>
      <w:pPr>
        <w:pStyle w:val="FirstParagraph"/>
      </w:pPr>
      <w:r>
        <w:rPr>
          <w:bCs/>
          <w:b/>
        </w:rPr>
        <w:t xml:space="preserve">Product Development:</w:t>
      </w:r>
      <w:r>
        <w:t xml:space="preserve"> </w:t>
      </w:r>
      <w:r>
        <w:t xml:space="preserve">Teacher Secondary offers three core services:</w:t>
      </w:r>
    </w:p>
    <w:p>
      <w:pPr>
        <w:numPr>
          <w:ilvl w:val="0"/>
          <w:numId w:val="1002"/>
        </w:numPr>
        <w:pStyle w:val="Compact"/>
      </w:pPr>
      <w:r>
        <w:rPr>
          <w:iCs/>
          <w:i/>
        </w:rPr>
        <w:t xml:space="preserve">Riyadh Curriculum Accelerator:</w:t>
      </w:r>
      <w:r>
        <w:t xml:space="preserve"> </w:t>
      </w:r>
      <w:r>
        <w:t xml:space="preserve">MOE-aligned lesson plans with Saudi cultural context examples (e.g., integrating Hajj themes in science classes)</w:t>
      </w:r>
    </w:p>
    <w:p>
      <w:pPr>
        <w:numPr>
          <w:ilvl w:val="0"/>
          <w:numId w:val="1002"/>
        </w:numPr>
        <w:pStyle w:val="Compact"/>
      </w:pPr>
      <w:r>
        <w:rPr>
          <w:iCs/>
          <w:i/>
        </w:rPr>
        <w:t xml:space="preserve">Digital Classroom Toolkit:</w:t>
      </w:r>
      <w:r>
        <w:t xml:space="preserve"> </w:t>
      </w:r>
      <w:r>
        <w:t xml:space="preserve">Arabic-language apps for interactive assessments validated by Riyadh schools</w:t>
      </w:r>
    </w:p>
    <w:p>
      <w:pPr>
        <w:numPr>
          <w:ilvl w:val="0"/>
          <w:numId w:val="1002"/>
        </w:numPr>
        <w:pStyle w:val="Compact"/>
      </w:pPr>
      <w:r>
        <w:rPr>
          <w:iCs/>
          <w:i/>
        </w:rPr>
        <w:t xml:space="preserve">Mentor Connect:</w:t>
      </w:r>
      <w:r>
        <w:t xml:space="preserve"> </w:t>
      </w:r>
      <w:r>
        <w:t xml:space="preserve">1:1 coaching from veteran Saudi educators via monthly video sessions</w:t>
      </w:r>
    </w:p>
    <w:p>
      <w:pPr>
        <w:pStyle w:val="FirstParagraph"/>
      </w:pPr>
      <w:r>
        <w:rPr>
          <w:bCs/>
          <w:b/>
        </w:rPr>
        <w:t xml:space="preserve">Pricing Strategy:</w:t>
      </w:r>
      <w:r>
        <w:t xml:space="preserve"> </w:t>
      </w:r>
      <w:r>
        <w:t xml:space="preserve">Tiered subscription model designed for Saudi market affordability:</w:t>
      </w:r>
    </w:p>
    <w:p>
      <w:pPr>
        <w:numPr>
          <w:ilvl w:val="0"/>
          <w:numId w:val="1003"/>
        </w:numPr>
        <w:pStyle w:val="Compact"/>
      </w:pPr>
      <w:r>
        <w:t xml:space="preserve">Individual: 49 SAR/month (includes 20 Arabic micro-lessons + digital toolkit)</w:t>
      </w:r>
    </w:p>
    <w:p>
      <w:pPr>
        <w:numPr>
          <w:ilvl w:val="0"/>
          <w:numId w:val="1003"/>
        </w:numPr>
        <w:pStyle w:val="Compact"/>
      </w:pPr>
      <w:r>
        <w:t xml:space="preserve">School Package: 1,500 SAR/teacher/year (adds leadership dashboards and custom training)</w:t>
      </w:r>
    </w:p>
    <w:p>
      <w:pPr>
        <w:numPr>
          <w:ilvl w:val="0"/>
          <w:numId w:val="1003"/>
        </w:numPr>
        <w:pStyle w:val="Compact"/>
      </w:pPr>
      <w:r>
        <w:t xml:space="preserve">MOE Partnership: Negotiated enterprise pricing for district-wide implementation</w:t>
      </w:r>
    </w:p>
    <w:p>
      <w:pPr>
        <w:pStyle w:val="FirstParagraph"/>
      </w:pPr>
      <w:r>
        <w:rPr>
          <w:bCs/>
          <w:b/>
        </w:rPr>
        <w:t xml:space="preserve">Distribution &amp; Promotion:</w:t>
      </w:r>
      <w:r>
        <w:t xml:space="preserve"> </w:t>
      </w:r>
      <w:r>
        <w:t xml:space="preserve">We leverage Riyadh's education ecosystem through:</w:t>
      </w:r>
    </w:p>
    <w:p>
      <w:pPr>
        <w:numPr>
          <w:ilvl w:val="0"/>
          <w:numId w:val="1004"/>
        </w:numPr>
        <w:pStyle w:val="Compact"/>
      </w:pPr>
      <w:r>
        <w:rPr>
          <w:iCs/>
          <w:i/>
        </w:rPr>
        <w:t xml:space="preserve">Channel Partnerships:</w:t>
      </w:r>
      <w:r>
        <w:t xml:space="preserve"> </w:t>
      </w:r>
      <w:r>
        <w:t xml:space="preserve">Direct integration with Riyadh's Education Directorate (Riyadh Educational Administration) for school rollouts</w:t>
      </w:r>
    </w:p>
    <w:p>
      <w:pPr>
        <w:numPr>
          <w:ilvl w:val="0"/>
          <w:numId w:val="1004"/>
        </w:numPr>
        <w:pStyle w:val="Compact"/>
      </w:pPr>
      <w:r>
        <w:rPr>
          <w:iCs/>
          <w:i/>
        </w:rPr>
        <w:t xml:space="preserve">Social Proof:</w:t>
      </w:r>
      <w:r>
        <w:t xml:space="preserve"> </w:t>
      </w:r>
      <w:r>
        <w:t xml:space="preserve">Collaborating with 15 top Riyadh schools for pilot testimonials (e.g., "Al-Hilal Secondary School saw 32% higher student engagement after Teacher Secondary implementation")</w:t>
      </w:r>
    </w:p>
    <w:p>
      <w:pPr>
        <w:numPr>
          <w:ilvl w:val="0"/>
          <w:numId w:val="1004"/>
        </w:numPr>
        <w:pStyle w:val="Compact"/>
      </w:pPr>
      <w:r>
        <w:rPr>
          <w:iCs/>
          <w:i/>
        </w:rPr>
        <w:t xml:space="preserve">Community Building:</w:t>
      </w:r>
      <w:r>
        <w:t xml:space="preserve"> </w:t>
      </w:r>
      <w:r>
        <w:t xml:space="preserve">Monthly Riyadh-based workshops at King Saud University and online forums moderated by Saudi education influencers</w:t>
      </w:r>
    </w:p>
    <w:bookmarkEnd w:id="23"/>
    <w:bookmarkStart w:id="24" w:name="riyadh-specific-implementation-timeline"/>
    <w:p>
      <w:pPr>
        <w:pStyle w:val="Heading2"/>
      </w:pPr>
      <w:r>
        <w:t xml:space="preserve">Riyadh-Specific Implementation Timeline</w:t>
      </w:r>
    </w:p>
    <w:p>
      <w:pPr>
        <w:pStyle w:val="FirstParagraph"/>
      </w:pPr>
      <w:r>
        <w:t xml:space="preserve">Quarter</w:t>
      </w:r>
    </w:p>
    <w:p>
      <w:pPr>
        <w:pStyle w:val="BodyText"/>
      </w:pPr>
      <w:r>
        <w:t xml:space="preserve">Key Activities for Riyadh Market</w:t>
      </w:r>
    </w:p>
    <w:p>
      <w:pPr>
        <w:pStyle w:val="BodyText"/>
      </w:pPr>
      <w:r>
        <w:t xml:space="preserve">Q1 2024</w:t>
      </w:r>
    </w:p>
    <w:p>
      <w:pPr>
        <w:pStyle w:val="BodyText"/>
      </w:pPr>
      <w:r>
        <w:t xml:space="preserve">Pilot launch with 3 Riyadh public schools; MOE alignment meeting; Arabic content localization</w:t>
      </w:r>
    </w:p>
    <w:p>
      <w:pPr>
        <w:pStyle w:val="BodyText"/>
      </w:pPr>
      <w:r>
        <w:t xml:space="preserve">Q2 2024</w:t>
      </w:r>
    </w:p>
    <w:p>
      <w:pPr>
        <w:pStyle w:val="BodyText"/>
      </w:pPr>
      <w:r>
        <w:t xml:space="preserve">Riyadh Education Festival booth; WhatsApp campaign targeting 5,000 teachers; Partnership with Riyadh Teachers' Union</w:t>
      </w:r>
    </w:p>
    <w:p>
      <w:pPr>
        <w:pStyle w:val="BodyText"/>
      </w:pPr>
      <w:r>
        <w:t xml:space="preserve">Q3 2024</w:t>
      </w:r>
    </w:p>
    <w:p>
      <w:pPr>
        <w:pStyle w:val="BodyText"/>
      </w:pPr>
      <w:r>
        <w:t xml:space="preserve">Riyadh-based training summit for school principals; Launch of "Riyadh Educator Awards" to recognize top users</w:t>
      </w:r>
    </w:p>
    <w:p>
      <w:pPr>
        <w:pStyle w:val="BodyText"/>
      </w:pPr>
      <w:r>
        <w:t xml:space="preserve">Q4 2024</w:t>
      </w:r>
    </w:p>
    <w:p>
      <w:pPr>
        <w:pStyle w:val="BodyText"/>
      </w:pPr>
      <w:r>
        <w:t xml:space="preserve">School package expansion to 50 Riyadh institutions; MOE certification application submission</w:t>
      </w:r>
    </w:p>
    <w:bookmarkEnd w:id="24"/>
    <w:bookmarkStart w:id="25" w:name="budget-allocation-riyadh-focus"/>
    <w:p>
      <w:pPr>
        <w:pStyle w:val="Heading2"/>
      </w:pPr>
      <w:r>
        <w:t xml:space="preserve">Budget Allocation (Riyadh Focus)</w:t>
      </w:r>
    </w:p>
    <w:p>
      <w:pPr>
        <w:pStyle w:val="FirstParagraph"/>
      </w:pPr>
      <w:r>
        <w:t xml:space="preserve">Total allocated budget: 875,000 SAR for Year 1, with 92% dedicated to Riyadh operations:</w:t>
      </w:r>
    </w:p>
    <w:p>
      <w:pPr>
        <w:numPr>
          <w:ilvl w:val="0"/>
          <w:numId w:val="1005"/>
        </w:numPr>
        <w:pStyle w:val="Compact"/>
      </w:pPr>
      <w:r>
        <w:t xml:space="preserve">Content Development: 35% (Arabic curriculum adaptation for Riyadh schools)</w:t>
      </w:r>
    </w:p>
    <w:p>
      <w:pPr>
        <w:numPr>
          <w:ilvl w:val="0"/>
          <w:numId w:val="1005"/>
        </w:numPr>
        <w:pStyle w:val="Compact"/>
      </w:pPr>
      <w:r>
        <w:t xml:space="preserve">Local Partnerships: 28% (MOE liaison, school agreements)</w:t>
      </w:r>
    </w:p>
    <w:p>
      <w:pPr>
        <w:numPr>
          <w:ilvl w:val="0"/>
          <w:numId w:val="1005"/>
        </w:numPr>
        <w:pStyle w:val="Compact"/>
      </w:pPr>
      <w:r>
        <w:t xml:space="preserve">Digital Marketing: 20% (WhatsApp campaigns, Riyadh-targeted social ads)</w:t>
      </w:r>
    </w:p>
    <w:p>
      <w:pPr>
        <w:numPr>
          <w:ilvl w:val="0"/>
          <w:numId w:val="1005"/>
        </w:numPr>
        <w:pStyle w:val="Compact"/>
      </w:pPr>
      <w:r>
        <w:t xml:space="preserve">On-Ground Events: 17% (Riyadh workshops, festival participation)</w:t>
      </w:r>
    </w:p>
    <w:bookmarkEnd w:id="25"/>
    <w:bookmarkStart w:id="26" w:name="performance-metrics-vision-alignment"/>
    <w:p>
      <w:pPr>
        <w:pStyle w:val="Heading2"/>
      </w:pPr>
      <w:r>
        <w:t xml:space="preserve">Performance Metrics &amp; Vision Alignment</w:t>
      </w:r>
    </w:p>
    <w:p>
      <w:pPr>
        <w:pStyle w:val="FirstParagraph"/>
      </w:pPr>
      <w:r>
        <w:t xml:space="preserve">We measure success through KPIs directly tied to Saudi educational priorities:</w:t>
      </w:r>
    </w:p>
    <w:p>
      <w:pPr>
        <w:numPr>
          <w:ilvl w:val="0"/>
          <w:numId w:val="1006"/>
        </w:numPr>
        <w:pStyle w:val="Compact"/>
      </w:pPr>
      <w:r>
        <w:t xml:space="preserve">Teacher Secondary Platform Adoption Rate: Target 15% of Riyadh secondary teachers by EOY 2025</w:t>
      </w:r>
    </w:p>
    <w:p>
      <w:pPr>
        <w:numPr>
          <w:ilvl w:val="0"/>
          <w:numId w:val="1006"/>
        </w:numPr>
        <w:pStyle w:val="Compact"/>
      </w:pPr>
      <w:r>
        <w:t xml:space="preserve">Cultural Relevance Score: Maintain ≥4.7/5 in Arabic content quality (per MOE surveys)</w:t>
      </w:r>
    </w:p>
    <w:p>
      <w:pPr>
        <w:numPr>
          <w:ilvl w:val="0"/>
          <w:numId w:val="1006"/>
        </w:numPr>
        <w:pStyle w:val="Compact"/>
      </w:pPr>
      <w:r>
        <w:t xml:space="preserve">Student Impact: Track improvement in Riyadh schools' STEM exam pass rates linked to Teacher Secondary usage</w:t>
      </w:r>
    </w:p>
    <w:p>
      <w:pPr>
        <w:pStyle w:val="FirstParagraph"/>
      </w:pPr>
      <w:r>
        <w:t xml:space="preserve">This Marketing Plan for Teacher Secondary is meticulously engineered for the Saudi Arabia Riyadh context. It transcends generic educational solutions by embedding deep understanding of local curriculum requirements, cultural nuances, and MOE's strategic objectives. By focusing exclusively on secondary educators' pain points within Riyadh's rapidly evolving education landscape – from Hajj-themed lesson planning to Arabic digital tools – Teacher Secondary positions itself as an indispensable catalyst for Vision 2030's educational transformation. Our data-driven approach ensures every marketing dollar drives measurable impact in Riyadh schools, directly contributing to Saudi Arabia's mission of elevating its secondary education standards through empowered teachers.</w:t>
      </w:r>
    </w:p>
    <w:bookmarkEnd w:id="26"/>
    <w:bookmarkStart w:id="27" w:name="conclusion"/>
    <w:p>
      <w:pPr>
        <w:pStyle w:val="Heading2"/>
      </w:pPr>
      <w:r>
        <w:t xml:space="preserve">Conclusion</w:t>
      </w:r>
    </w:p>
    <w:p>
      <w:pPr>
        <w:pStyle w:val="FirstParagraph"/>
      </w:pPr>
      <w:r>
        <w:t xml:space="preserve">The Teacher Secondary Marketing Plan delivers a focused, culturally intelligent strategy for Riyadh's educational market. With 85% of our marketing efforts targeting local Riyadh channels and partnerships, we ensure maximum relevance while adhering to Saudi cultural protocols. This isn't merely another teacher training platform – it's a Riyadh-centric ecosystem designed to transform secondary education through the most influential force in classrooms: the teachers themselves. As Saudi Arabia accelerates its educational reforms, Teacher Secondary will stand as the trusted partner enabling every Riyadh secondary educator to excel within their unique cultural and academic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in Saudi Arabia Riyadh</dc:title>
  <dc:creator/>
  <dc:language>en</dc:language>
  <cp:keywords/>
  <dcterms:created xsi:type="dcterms:W3CDTF">2026-07-21T13:17:23Z</dcterms:created>
  <dcterms:modified xsi:type="dcterms:W3CDTF">2026-07-21T13:17:23Z</dcterms:modified>
</cp:coreProperties>
</file>

<file path=docProps/custom.xml><?xml version="1.0" encoding="utf-8"?>
<Properties xmlns="http://schemas.openxmlformats.org/officeDocument/2006/custom-properties" xmlns:vt="http://schemas.openxmlformats.org/officeDocument/2006/docPropsVTypes"/>
</file>