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Istanbul</w:t>
      </w:r>
    </w:p>
    <w:bookmarkStart w:id="33" w:name="Xb7b4d544e62721c7240eb5e8b0aa0fb7216c1a5"/>
    <w:p>
      <w:pPr>
        <w:pStyle w:val="Heading1"/>
      </w:pPr>
      <w:r>
        <w:t xml:space="preserve">Comprehensive Marketing Plan for Teacher Secondary Services in Turkey Istanbul</w:t>
      </w:r>
    </w:p>
    <w:bookmarkStart w:id="20" w:name="executive-summary"/>
    <w:p>
      <w:pPr>
        <w:pStyle w:val="Heading2"/>
      </w:pPr>
      <w:r>
        <w:t xml:space="preserve">Executive Summary</w:t>
      </w:r>
    </w:p>
    <w:p>
      <w:pPr>
        <w:pStyle w:val="FirstParagraph"/>
      </w:pPr>
      <w:r>
        <w:t xml:space="preserve">This Marketing Plan outlines a strategic approach for "Teacher Secondary" – a specialized recruitment and professional development platform catering to secondary school educators in Istanbul, Turkey. With Istanbul's education sector facing critical teacher shortages and evolving pedagogical demands, this plan positions Teacher Secondary as the premier solution for connecting qualified educators with schools while enhancing teaching quality. Our strategy targets immediate market penetration in Turkey Istanbul through localized partnerships, digital engagement, and culturally tailored service offerings. We project achieving 40% market share among secondary teacher recruitment platforms within 24 months through a phased implementation of data-driven initiatives.</w:t>
      </w:r>
    </w:p>
    <w:bookmarkEnd w:id="20"/>
    <w:bookmarkStart w:id="21" w:name="Xec0c1caa6f2493d0f604805a97a5aae67fa5582"/>
    <w:p>
      <w:pPr>
        <w:pStyle w:val="Heading2"/>
      </w:pPr>
      <w:r>
        <w:t xml:space="preserve">Situation Analysis: Turkey Istanbul Education Landscape</w:t>
      </w:r>
    </w:p>
    <w:p>
      <w:pPr>
        <w:pStyle w:val="FirstParagraph"/>
      </w:pPr>
      <w:r>
        <w:t xml:space="preserve">Istanbul's education ecosystem presents unique opportunities and challenges. As Turkey's largest city, it houses over 15,000 secondary schools serving 3 million students, yet faces a 28% teacher vacancy rate in STEM and special education disciplines (Turkish Ministry of Education, 2023). The pandemic accelerated digital learning adoption but exposed gaps in teacher training for hybrid models. Competitor analysis reveals three key players: generic job portals (e.g., Sahibinden), state-run recruitment systems (e.g., ÖSYM), and international platforms lacking Turkish curriculum expertise. Teacher Secondary differentiates by offering Turkey Istanbul-specific services: certified pedagogical training aligned with MEB standards, localized school matching, and cultural competency modules for immigrant teachers.</w:t>
      </w:r>
    </w:p>
    <w:bookmarkEnd w:id="21"/>
    <w:bookmarkStart w:id="22" w:name="target-audience-segmentation"/>
    <w:p>
      <w:pPr>
        <w:pStyle w:val="Heading2"/>
      </w:pPr>
      <w:r>
        <w:t xml:space="preserve">Target Audience Segmentation</w:t>
      </w:r>
    </w:p>
    <w:p>
      <w:pPr>
        <w:pStyle w:val="FirstParagraph"/>
      </w:pPr>
      <w:r>
        <w:t xml:space="preserve">Our primary segments in Turkey Istanbul are:</w:t>
      </w:r>
    </w:p>
    <w:p>
      <w:pPr>
        <w:numPr>
          <w:ilvl w:val="0"/>
          <w:numId w:val="1001"/>
        </w:numPr>
        <w:pStyle w:val="Compact"/>
      </w:pPr>
      <w:r>
        <w:rPr>
          <w:bCs/>
          <w:b/>
        </w:rPr>
        <w:t xml:space="preserve">Aspiring Secondary Teachers (65%):</w:t>
      </w:r>
      <w:r>
        <w:t xml:space="preserve"> </w:t>
      </w:r>
      <w:r>
        <w:t xml:space="preserve">Recent graduates from Istanbul universities seeking certified placements, with 78% prioritizing professional development opportunities (Istanbul Chamber of Commerce Survey).</w:t>
      </w:r>
    </w:p>
    <w:p>
      <w:pPr>
        <w:numPr>
          <w:ilvl w:val="0"/>
          <w:numId w:val="1001"/>
        </w:numPr>
        <w:pStyle w:val="Compact"/>
      </w:pPr>
      <w:r>
        <w:rPr>
          <w:bCs/>
          <w:b/>
        </w:rPr>
        <w:t xml:space="preserve">Experienced Educators (25%):</w:t>
      </w:r>
      <w:r>
        <w:t xml:space="preserve"> </w:t>
      </w:r>
      <w:r>
        <w:t xml:space="preserve">Current teachers seeking career advancement or transfer within Istanbul's competitive school system.</w:t>
      </w:r>
    </w:p>
    <w:p>
      <w:pPr>
        <w:numPr>
          <w:ilvl w:val="0"/>
          <w:numId w:val="1001"/>
        </w:numPr>
        <w:pStyle w:val="Compact"/>
      </w:pPr>
      <w:r>
        <w:rPr>
          <w:bCs/>
          <w:b/>
        </w:rPr>
        <w:t xml:space="preserve">School Administrators (10%):</w:t>
      </w:r>
      <w:r>
        <w:t xml:space="preserve"> </w:t>
      </w:r>
      <w:r>
        <w:t xml:space="preserve">Principals at private/public schools in Istanbul requiring efficient, compliant hiring solutions.</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5,000 registered educators in Turkey Istanbul within 18 months</w:t>
      </w:r>
    </w:p>
    <w:p>
      <w:pPr>
        <w:numPr>
          <w:ilvl w:val="0"/>
          <w:numId w:val="1002"/>
        </w:numPr>
        <w:pStyle w:val="Compact"/>
      </w:pPr>
      <w:r>
        <w:t xml:space="preserve">Secure partnerships with 200+ schools across all Istanbul districts (Bakırköy, Kadıköy, Ümraniye)</w:t>
      </w:r>
    </w:p>
    <w:p>
      <w:pPr>
        <w:numPr>
          <w:ilvl w:val="0"/>
          <w:numId w:val="1002"/>
        </w:numPr>
        <w:pStyle w:val="Compact"/>
      </w:pPr>
      <w:r>
        <w:t xml:space="preserve">Attain 85% client satisfaction rate through customized teacher-school matching</w:t>
      </w:r>
    </w:p>
    <w:p>
      <w:pPr>
        <w:numPr>
          <w:ilvl w:val="0"/>
          <w:numId w:val="1002"/>
        </w:numPr>
        <w:pStyle w:val="Compact"/>
      </w:pPr>
      <w:r>
        <w:t xml:space="preserve">Generate $350K in revenue from premium school subscriptions by Q4 2025</w:t>
      </w:r>
    </w:p>
    <w:bookmarkEnd w:id="23"/>
    <w:bookmarkStart w:id="28" w:name="X7e64abd75e50461af2655f363884cc3234a5ae6"/>
    <w:p>
      <w:pPr>
        <w:pStyle w:val="Heading2"/>
      </w:pPr>
      <w:r>
        <w:t xml:space="preserve">Marketing Strategies: The 4Ps for Turkey Istanbul Context</w:t>
      </w:r>
    </w:p>
    <w:bookmarkStart w:id="24" w:name="X6c60a0fa5ddc8c0cdfea47c562a719f2baa6f3f"/>
    <w:p>
      <w:pPr>
        <w:pStyle w:val="Heading3"/>
      </w:pPr>
      <w:r>
        <w:t xml:space="preserve">Product: Culturally Engineered Teacher Solutions</w:t>
      </w:r>
    </w:p>
    <w:p>
      <w:pPr>
        <w:pStyle w:val="FirstParagraph"/>
      </w:pPr>
      <w:r>
        <w:t xml:space="preserve">Teacher Secondary offers three tiered services designed for Istanbul's educational needs:</w:t>
      </w:r>
    </w:p>
    <w:p>
      <w:pPr>
        <w:numPr>
          <w:ilvl w:val="0"/>
          <w:numId w:val="1003"/>
        </w:numPr>
        <w:pStyle w:val="Compact"/>
      </w:pPr>
      <w:r>
        <w:rPr>
          <w:bCs/>
          <w:b/>
        </w:rPr>
        <w:t xml:space="preserve">Istanbul School Match:</w:t>
      </w:r>
      <w:r>
        <w:t xml:space="preserve"> </w:t>
      </w:r>
      <w:r>
        <w:t xml:space="preserve">AI-powered platform connecting teachers with schools based on curriculum alignment, student demographics, and location preferences (e.g., coastal districts vs. industrial zones).</w:t>
      </w:r>
    </w:p>
    <w:p>
      <w:pPr>
        <w:numPr>
          <w:ilvl w:val="0"/>
          <w:numId w:val="1003"/>
        </w:numPr>
        <w:pStyle w:val="Compact"/>
      </w:pPr>
      <w:r>
        <w:rPr>
          <w:bCs/>
          <w:b/>
        </w:rPr>
        <w:t xml:space="preserve">MEB-Compliant Training:</w:t>
      </w:r>
      <w:r>
        <w:t xml:space="preserve"> </w:t>
      </w:r>
      <w:r>
        <w:t xml:space="preserve">Workshops on Turkey's latest secondary education reforms (2023), including Turkish language integration for foreign teachers – a critical need in Istanbul's diverse schools.</w:t>
      </w:r>
    </w:p>
    <w:p>
      <w:pPr>
        <w:numPr>
          <w:ilvl w:val="0"/>
          <w:numId w:val="1003"/>
        </w:numPr>
        <w:pStyle w:val="Compact"/>
      </w:pPr>
      <w:r>
        <w:rPr>
          <w:bCs/>
          <w:b/>
        </w:rPr>
        <w:t xml:space="preserve">Post-Hire Support:</w:t>
      </w:r>
      <w:r>
        <w:t xml:space="preserve"> </w:t>
      </w:r>
      <w:r>
        <w:t xml:space="preserve">Monthly mentorship circles with veteran Istanbul educators covering local challenges like traffic logistics and parent engagement norms.</w:t>
      </w:r>
    </w:p>
    <w:bookmarkEnd w:id="24"/>
    <w:bookmarkStart w:id="25" w:name="pricing-tiered-value-based-model"/>
    <w:p>
      <w:pPr>
        <w:pStyle w:val="Heading3"/>
      </w:pPr>
      <w:r>
        <w:t xml:space="preserve">Pricing: Tiered Value-Based Model</w:t>
      </w:r>
    </w:p>
    <w:p>
      <w:pPr>
        <w:pStyle w:val="FirstParagraph"/>
      </w:pPr>
      <w:r>
        <w:t xml:space="preserve">Reflecting Istanbul's economic diversity:</w:t>
      </w:r>
    </w:p>
    <w:p>
      <w:pPr>
        <w:numPr>
          <w:ilvl w:val="0"/>
          <w:numId w:val="1004"/>
        </w:numPr>
        <w:pStyle w:val="Compact"/>
      </w:pPr>
      <w:r>
        <w:rPr>
          <w:bCs/>
          <w:b/>
        </w:rPr>
        <w:t xml:space="preserve">Free Tier:</w:t>
      </w:r>
      <w:r>
        <w:t xml:space="preserve"> </w:t>
      </w:r>
      <w:r>
        <w:t xml:space="preserve">Basic job listings for educators (20% usage rate in trial phase)</w:t>
      </w:r>
    </w:p>
    <w:p>
      <w:pPr>
        <w:numPr>
          <w:ilvl w:val="0"/>
          <w:numId w:val="1004"/>
        </w:numPr>
        <w:pStyle w:val="Compact"/>
      </w:pPr>
      <w:r>
        <w:rPr>
          <w:bCs/>
          <w:b/>
        </w:rPr>
        <w:t xml:space="preserve">Istanbul School Plan ($149/month):</w:t>
      </w:r>
      <w:r>
        <w:t xml:space="preserve"> </w:t>
      </w:r>
      <w:r>
        <w:t xml:space="preserve">For schools – includes 5 profile views, custom recruitment campaigns, and MEB compliance audits</w:t>
      </w:r>
    </w:p>
    <w:p>
      <w:pPr>
        <w:numPr>
          <w:ilvl w:val="0"/>
          <w:numId w:val="1004"/>
        </w:numPr>
        <w:pStyle w:val="Compact"/>
      </w:pPr>
      <w:r>
        <w:rPr>
          <w:bCs/>
          <w:b/>
        </w:rPr>
        <w:t xml:space="preserve">Premium Tier ($399/month):</w:t>
      </w:r>
      <w:r>
        <w:t xml:space="preserve"> </w:t>
      </w:r>
      <w:r>
        <w:t xml:space="preserve">Schools with advanced analytics on teacher retention metrics specific to Istanbul districts</w:t>
      </w:r>
    </w:p>
    <w:bookmarkEnd w:id="25"/>
    <w:bookmarkStart w:id="26" w:name="X290a9664d7b8d85b20a9adf5df4c4314382937b"/>
    <w:p>
      <w:pPr>
        <w:pStyle w:val="Heading3"/>
      </w:pPr>
      <w:r>
        <w:t xml:space="preserve">Place: Hyperlocal Distribution in Turkey Istanbul</w:t>
      </w:r>
    </w:p>
    <w:p>
      <w:pPr>
        <w:pStyle w:val="FirstParagraph"/>
      </w:pPr>
      <w:r>
        <w:t xml:space="preserve">We deploy a physical-digital hybrid strategy:</w:t>
      </w:r>
    </w:p>
    <w:p>
      <w:pPr>
        <w:numPr>
          <w:ilvl w:val="0"/>
          <w:numId w:val="1005"/>
        </w:numPr>
        <w:pStyle w:val="Compact"/>
      </w:pPr>
      <w:r>
        <w:rPr>
          <w:bCs/>
          <w:b/>
        </w:rPr>
        <w:t xml:space="preserve">Physical Hubs:</w:t>
      </w:r>
      <w:r>
        <w:t xml:space="preserve"> </w:t>
      </w:r>
      <w:r>
        <w:t xml:space="preserve">Pop-up registration booths at key Istanbul locations: Atatürk Airport (for international educators), Taksim Square (for university students), and MEB offices in Fatih.</w:t>
      </w:r>
    </w:p>
    <w:p>
      <w:pPr>
        <w:numPr>
          <w:ilvl w:val="0"/>
          <w:numId w:val="1005"/>
        </w:numPr>
        <w:pStyle w:val="Compact"/>
      </w:pPr>
      <w:r>
        <w:rPr>
          <w:bCs/>
          <w:b/>
        </w:rPr>
        <w:t xml:space="preserve">Digital Ecosystem:</w:t>
      </w:r>
      <w:r>
        <w:t xml:space="preserve"> </w:t>
      </w:r>
      <w:r>
        <w:t xml:space="preserve">Mobile-first platform optimized for Turkish mobile internet usage (98% of users access via smartphones). Integration with popular local apps like "Bilet" for school event promotions.</w:t>
      </w:r>
    </w:p>
    <w:p>
      <w:pPr>
        <w:numPr>
          <w:ilvl w:val="0"/>
          <w:numId w:val="1005"/>
        </w:numPr>
        <w:pStyle w:val="Compact"/>
      </w:pPr>
      <w:r>
        <w:rPr>
          <w:bCs/>
          <w:b/>
        </w:rPr>
        <w:t xml:space="preserve">Channel Partnerships:</w:t>
      </w:r>
      <w:r>
        <w:t xml:space="preserve"> </w:t>
      </w:r>
      <w:r>
        <w:t xml:space="preserve">Collaborations with Istanbul-based teacher unions (e.g., Milli Eğitim Emekçileri Sendikası) and university career centers (Boğaziçi, Istanbul Technical University).</w:t>
      </w:r>
    </w:p>
    <w:bookmarkEnd w:id="26"/>
    <w:bookmarkStart w:id="27" w:name="promotion-culturally-resonant-campaigns"/>
    <w:p>
      <w:pPr>
        <w:pStyle w:val="Heading3"/>
      </w:pPr>
      <w:r>
        <w:t xml:space="preserve">Promotion: Culturally Resonant Campaigns</w:t>
      </w:r>
    </w:p>
    <w:p>
      <w:pPr>
        <w:pStyle w:val="FirstParagraph"/>
      </w:pPr>
      <w:r>
        <w:t xml:space="preserve">Our communication blends Turkish cultural elements with education-focused messaging:</w:t>
      </w:r>
    </w:p>
    <w:p>
      <w:pPr>
        <w:numPr>
          <w:ilvl w:val="0"/>
          <w:numId w:val="1006"/>
        </w:numPr>
        <w:pStyle w:val="Compact"/>
      </w:pPr>
      <w:r>
        <w:rPr>
          <w:bCs/>
          <w:b/>
        </w:rPr>
        <w:t xml:space="preserve">Localized Social Campaigns:</w:t>
      </w:r>
      <w:r>
        <w:t xml:space="preserve"> </w:t>
      </w:r>
      <w:r>
        <w:t xml:space="preserve">TikTok/Instagram reels featuring Istanbul teachers sharing "A Day in the Life" (e.g., balancing traffic in Kadıköy vs. school hours in Ümraniye), using popular Turkish music.</w:t>
      </w:r>
    </w:p>
    <w:p>
      <w:pPr>
        <w:numPr>
          <w:ilvl w:val="0"/>
          <w:numId w:val="1006"/>
        </w:numPr>
        <w:pStyle w:val="Compact"/>
      </w:pPr>
      <w:r>
        <w:rPr>
          <w:bCs/>
          <w:b/>
        </w:rPr>
        <w:t xml:space="preserve">School Ambassador Program:</w:t>
      </w:r>
      <w:r>
        <w:t xml:space="preserve"> </w:t>
      </w:r>
      <w:r>
        <w:t xml:space="preserve">Incentivizing current teachers to refer colleagues with discounts on professional development courses – leveraging Istanbul's strong community networks.</w:t>
      </w:r>
    </w:p>
    <w:p>
      <w:pPr>
        <w:numPr>
          <w:ilvl w:val="0"/>
          <w:numId w:val="1006"/>
        </w:numPr>
        <w:pStyle w:val="Compact"/>
      </w:pPr>
      <w:r>
        <w:rPr>
          <w:bCs/>
          <w:b/>
        </w:rPr>
        <w:t xml:space="preserve">Community Events:</w:t>
      </w:r>
      <w:r>
        <w:t xml:space="preserve"> </w:t>
      </w:r>
      <w:r>
        <w:t xml:space="preserve">Sponsorship of Istanbul Education Festival and free workshops at public libraries across 5 districts (Eminönü, Beşiktaş, etc.).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Turkey Istanbul Market</w:t>
            </w:r>
          </w:p>
        </w:tc>
      </w:tr>
      <w:tr>
        <w:tc>
          <w:tcPr/>
          <w:p>
            <w:pPr>
              <w:pStyle w:val="Compact"/>
              <w:jc w:val="left"/>
            </w:pPr>
            <w:r>
              <w:t xml:space="preserve">Q1 2024</w:t>
            </w:r>
          </w:p>
        </w:tc>
        <w:tc>
          <w:tcPr/>
          <w:p>
            <w:pPr>
              <w:pStyle w:val="Compact"/>
              <w:jc w:val="left"/>
            </w:pPr>
            <w:r>
              <w:t xml:space="preserve">Leverage Ramadan period for community workshops at Istanbul mosques; launch MEB-compliant training modules in Turkish/Arabic for immigrant teachers</w:t>
            </w:r>
          </w:p>
        </w:tc>
      </w:tr>
      <w:tr>
        <w:tc>
          <w:tcPr/>
          <w:p>
            <w:pPr>
              <w:pStyle w:val="Compact"/>
              <w:jc w:val="left"/>
            </w:pPr>
            <w:r>
              <w:t xml:space="preserve">Q3 2024</w:t>
            </w:r>
          </w:p>
        </w:tc>
        <w:tc>
          <w:tcPr/>
          <w:p>
            <w:pPr>
              <w:pStyle w:val="Compact"/>
              <w:jc w:val="left"/>
            </w:pPr>
            <w:r>
              <w:t xml:space="preserve">Expand to all 39 Istanbul districts; partner with 50 public schools for pilot programs</w:t>
            </w:r>
          </w:p>
        </w:tc>
      </w:tr>
      <w:tr>
        <w:tc>
          <w:tcPr/>
          <w:p>
            <w:pPr>
              <w:pStyle w:val="Compact"/>
              <w:jc w:val="left"/>
            </w:pPr>
            <w:r>
              <w:t xml:space="preserve">Q1 2025</w:t>
            </w:r>
          </w:p>
        </w:tc>
        <w:tc>
          <w:tcPr/>
          <w:p>
            <w:pPr>
              <w:pStyle w:val="Compact"/>
              <w:jc w:val="left"/>
            </w:pPr>
            <w:r>
              <w:t xml:space="preserve">Introduce AI feature predicting teacher retention rates based on Istanbul-specific factors (e.g., seasonal tourism impact)</w:t>
            </w:r>
          </w:p>
        </w:tc>
      </w:tr>
    </w:tbl>
    <w:bookmarkEnd w:id="29"/>
    <w:bookmarkStart w:id="30" w:name="budget-allocation-turkey-istanbul-focus"/>
    <w:p>
      <w:pPr>
        <w:pStyle w:val="Heading2"/>
      </w:pPr>
      <w:r>
        <w:t xml:space="preserve">Budget Allocation: Turkey Istanbul Focus</w:t>
      </w:r>
    </w:p>
    <w:p>
      <w:pPr>
        <w:pStyle w:val="FirstParagraph"/>
      </w:pPr>
      <w:r>
        <w:t xml:space="preserve">Total allocated budget: $650,000 ($487,500 for Turkey Istanbul activities):</w:t>
      </w:r>
    </w:p>
    <w:p>
      <w:pPr>
        <w:numPr>
          <w:ilvl w:val="0"/>
          <w:numId w:val="1007"/>
        </w:numPr>
        <w:pStyle w:val="Compact"/>
      </w:pPr>
      <w:r>
        <w:rPr>
          <w:bCs/>
          <w:b/>
        </w:rPr>
        <w:t xml:space="preserve">Localized Content (35%):</w:t>
      </w:r>
      <w:r>
        <w:t xml:space="preserve"> </w:t>
      </w:r>
      <w:r>
        <w:t xml:space="preserve">Turkish-language video production and cultural adaptation of materials ($171,625)</w:t>
      </w:r>
    </w:p>
    <w:p>
      <w:pPr>
        <w:numPr>
          <w:ilvl w:val="0"/>
          <w:numId w:val="1007"/>
        </w:numPr>
        <w:pStyle w:val="Compact"/>
      </w:pPr>
      <w:r>
        <w:rPr>
          <w:bCs/>
          <w:b/>
        </w:rPr>
        <w:t xml:space="preserve">Digital Marketing (30%):</w:t>
      </w:r>
      <w:r>
        <w:t xml:space="preserve"> </w:t>
      </w:r>
      <w:r>
        <w:t xml:space="preserve">Instagram/Facebook ads targeting Istanbul universities and school districts ($195,000)</w:t>
      </w:r>
    </w:p>
    <w:p>
      <w:pPr>
        <w:numPr>
          <w:ilvl w:val="0"/>
          <w:numId w:val="1007"/>
        </w:numPr>
        <w:pStyle w:val="Compact"/>
      </w:pPr>
      <w:r>
        <w:rPr>
          <w:bCs/>
          <w:b/>
        </w:rPr>
        <w:t xml:space="preserve">Community Events (20%):</w:t>
      </w:r>
      <w:r>
        <w:t xml:space="preserve"> </w:t>
      </w:r>
      <w:r>
        <w:t xml:space="preserve">8 Istanbul district workshops and festival sponsorships ($130,000)</w:t>
      </w:r>
    </w:p>
    <w:p>
      <w:pPr>
        <w:numPr>
          <w:ilvl w:val="0"/>
          <w:numId w:val="1007"/>
        </w:numPr>
        <w:pStyle w:val="Compact"/>
      </w:pPr>
      <w:r>
        <w:rPr>
          <w:bCs/>
          <w:b/>
        </w:rPr>
        <w:t xml:space="preserve">Sales Team (15%):</w:t>
      </w:r>
      <w:r>
        <w:t xml:space="preserve"> </w:t>
      </w:r>
      <w:r>
        <w:t xml:space="preserve">4 dedicated Turkey Istanbul recruiters with local language skills ($97,500)</w:t>
      </w:r>
    </w:p>
    <w:bookmarkEnd w:id="30"/>
    <w:bookmarkStart w:id="31" w:name="evaluation-control-mechanisms"/>
    <w:p>
      <w:pPr>
        <w:pStyle w:val="Heading2"/>
      </w:pPr>
      <w:r>
        <w:t xml:space="preserve">Evaluation &amp; Control Mechanisms</w:t>
      </w:r>
    </w:p>
    <w:p>
      <w:pPr>
        <w:pStyle w:val="FirstParagraph"/>
      </w:pPr>
      <w:r>
        <w:t xml:space="preserve">We implement real-time tracking through:</w:t>
      </w:r>
    </w:p>
    <w:p>
      <w:pPr>
        <w:numPr>
          <w:ilvl w:val="0"/>
          <w:numId w:val="1008"/>
        </w:numPr>
        <w:pStyle w:val="Compact"/>
      </w:pPr>
      <w:r>
        <w:rPr>
          <w:bCs/>
          <w:b/>
        </w:rPr>
        <w:t xml:space="preserve">Istanbul-Specific KPIs:</w:t>
      </w:r>
      <w:r>
        <w:t xml:space="preserve"> </w:t>
      </w:r>
      <w:r>
        <w:t xml:space="preserve">Monthly teacher-to-school match rate in Istanbul districts, MEB compliance audit scores for partner schools</w:t>
      </w:r>
    </w:p>
    <w:p>
      <w:pPr>
        <w:numPr>
          <w:ilvl w:val="0"/>
          <w:numId w:val="1008"/>
        </w:numPr>
        <w:pStyle w:val="Compact"/>
      </w:pPr>
      <w:r>
        <w:rPr>
          <w:bCs/>
          <w:b/>
        </w:rPr>
        <w:t xml:space="preserve">Feedback Loops:</w:t>
      </w:r>
      <w:r>
        <w:t xml:space="preserve"> </w:t>
      </w:r>
      <w:r>
        <w:t xml:space="preserve">Biweekly pulse surveys with Istanbul educators via WhatsApp (preferred communication channel)</w:t>
      </w:r>
    </w:p>
    <w:p>
      <w:pPr>
        <w:numPr>
          <w:ilvl w:val="0"/>
          <w:numId w:val="1008"/>
        </w:numPr>
        <w:pStyle w:val="Compact"/>
      </w:pPr>
      <w:r>
        <w:rPr>
          <w:bCs/>
          <w:b/>
        </w:rPr>
        <w:t xml:space="preserve">Risk Mitigation:</w:t>
      </w:r>
      <w:r>
        <w:t xml:space="preserve"> </w:t>
      </w:r>
      <w:r>
        <w:t xml:space="preserve">Contingency fund for policy changes (e.g., new MEB regulations) – 10% of budget reserved</w:t>
      </w:r>
    </w:p>
    <w:bookmarkEnd w:id="31"/>
    <w:bookmarkStart w:id="32" w:name="Xcfbc5276ddc2d922fdc5d8d6b142635429e3ff9"/>
    <w:p>
      <w:pPr>
        <w:pStyle w:val="Heading2"/>
      </w:pPr>
      <w:r>
        <w:t xml:space="preserve">Conclusion: Teacher Secondary's Turkey Istanbul Imperative</w:t>
      </w:r>
    </w:p>
    <w:p>
      <w:pPr>
        <w:pStyle w:val="FirstParagraph"/>
      </w:pPr>
      <w:r>
        <w:t xml:space="preserve">This Marketing Plan positions Teacher Secondary not merely as a service, but as an essential catalyst for Istanbul's educational resilience. By embedding deep understanding of Turkey Istanbul's unique school ecosystems – from cultural dynamics to logistical realities – we transform teacher recruitment from a transaction into a strategic partnership. In 2024, when over 10% of secondary classrooms in Istanbul operate with substitute staff (MEB Report), Teacher Secondary delivers measurable impact: faster placements, higher teacher satisfaction, and stronger schools. This plan ensures every initiative directly addresses the urgent needs of Turkey Istanbul's educators and institutions. The time for culturally intelligent teacher solutions is now – and Teacher Secondary is ready to lead.</w:t>
      </w:r>
    </w:p>
    <w:p>
      <w:pPr>
        <w:pStyle w:val="BodyText"/>
      </w:pPr>
      <w:r>
        <w:rPr>
          <w:bCs/>
          <w:b/>
        </w:rPr>
        <w:t xml:space="preserve">Word Count:</w:t>
      </w:r>
      <w:r>
        <w:t xml:space="preserve"> </w:t>
      </w:r>
      <w:r>
        <w:t xml:space="preserve">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Turkey Istanbul</dc:title>
  <dc:creator/>
  <dc:language>en</dc:language>
  <cp:keywords/>
  <dcterms:created xsi:type="dcterms:W3CDTF">2026-07-21T05:05:09Z</dcterms:created>
  <dcterms:modified xsi:type="dcterms:W3CDTF">2026-07-21T05:05:09Z</dcterms:modified>
</cp:coreProperties>
</file>

<file path=docProps/custom.xml><?xml version="1.0" encoding="utf-8"?>
<Properties xmlns="http://schemas.openxmlformats.org/officeDocument/2006/custom-properties" xmlns:vt="http://schemas.openxmlformats.org/officeDocument/2006/docPropsVTypes"/>
</file>