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Paris</w:t>
      </w:r>
    </w:p>
    <w:bookmarkStart w:id="31" w:name="X13d49fd8b1cd09f6338872fe0bc137907589dc3"/>
    <w:p>
      <w:pPr>
        <w:pStyle w:val="Heading1"/>
      </w:pPr>
      <w:r>
        <w:t xml:space="preserve">Strategic Marketing Plan for Attracting Top-Tier Telecommunication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Telecommunication Engineer as the cornerstone of digital transformation within France’s premier metropolitan hub: Paris. As the capital city accelerates its 5G rollout, smart city initiatives (e.g., Paris Smart City Project), and fiber-optic infrastructure expansion, a critical talent gap exists in specialized Telecommunication Engineering roles. This plan details how we will attract, recruit, and retain elite Telecommunication Engineers for key positions across major telecom providers in Paris. By aligning our value proposition with the unique opportunities of France Paris, we ensure competitive differentiation in a saturated global market.</w:t>
      </w:r>
    </w:p>
    <w:bookmarkEnd w:id="20"/>
    <w:bookmarkStart w:id="21" w:name="market-analysis-the-paris-opportunity"/>
    <w:p>
      <w:pPr>
        <w:pStyle w:val="Heading2"/>
      </w:pPr>
      <w:r>
        <w:t xml:space="preserve">Market Analysis: The Paris Opportunity</w:t>
      </w:r>
    </w:p>
    <w:p>
      <w:pPr>
        <w:pStyle w:val="FirstParagraph"/>
      </w:pPr>
      <w:r>
        <w:t xml:space="preserve">France’s digital strategy, *France 2030*, prioritizes telecommunications as a national priority, allocating €1 billion for 5G deployment and rural connectivity. Paris, as Europe’s leading tech innovation cluster (home to Station F, Le Laboratoire, and over 10% of France’s tech startups), demands specialized Telecommunication Engineers capable of navigating dense urban networks. Current data from Pôle emploi reveals a 22% vacancy rate for senior Telecommunication Engineers in Île-de-France, with demand outpacing supply by 35%. Competitors like Orange, SFR, and Bouygues Telecom are aggressively bidding for talent but lack a cohesive employer branding strategy focused on Parisian career ecosystems. This gap presents our primary market opportunity.</w:t>
      </w:r>
    </w:p>
    <w:bookmarkEnd w:id="21"/>
    <w:bookmarkStart w:id="22" w:name="Xd4f1a4bbf623259785eb707a6197e1a570e09b3"/>
    <w:p>
      <w:pPr>
        <w:pStyle w:val="Heading2"/>
      </w:pPr>
      <w:r>
        <w:t xml:space="preserve">Target Audience: The Ideal Telecommunication Engineer in Paris</w:t>
      </w:r>
    </w:p>
    <w:p>
      <w:pPr>
        <w:pStyle w:val="FirstParagraph"/>
      </w:pPr>
      <w:r>
        <w:t xml:space="preserve">We define our target as mid-to-senior level Telecommunication Engineers (5–10 years’ experience) seeking:</w:t>
      </w:r>
    </w:p>
    <w:p>
      <w:pPr>
        <w:numPr>
          <w:ilvl w:val="0"/>
          <w:numId w:val="1001"/>
        </w:numPr>
        <w:pStyle w:val="Compact"/>
      </w:pPr>
      <w:r>
        <w:t xml:space="preserve">Opportunities to work on high-impact Paris projects (e.g., 5G-enabled public transport, IoT infrastructure in the Eiffel Tower district)</w:t>
      </w:r>
    </w:p>
    <w:p>
      <w:pPr>
        <w:numPr>
          <w:ilvl w:val="0"/>
          <w:numId w:val="1001"/>
        </w:numPr>
        <w:pStyle w:val="Compact"/>
      </w:pPr>
      <w:r>
        <w:t xml:space="preserve">Competitive compensation aligned with Parisian living costs (€80k–€120k base + performance bonuses)</w:t>
      </w:r>
    </w:p>
    <w:p>
      <w:pPr>
        <w:numPr>
          <w:ilvl w:val="0"/>
          <w:numId w:val="1001"/>
        </w:numPr>
        <w:pStyle w:val="Compact"/>
      </w:pPr>
      <w:r>
        <w:t xml:space="preserve">Career acceleration within France’s most dynamic tech environment</w:t>
      </w:r>
    </w:p>
    <w:p>
      <w:pPr>
        <w:numPr>
          <w:ilvl w:val="0"/>
          <w:numId w:val="1001"/>
        </w:numPr>
        <w:pStyle w:val="Compact"/>
      </w:pPr>
      <w:r>
        <w:t xml:space="preserve">Work-life integration in a city renowned for quality of life (e.g., cultural access, green spaces)</w:t>
      </w:r>
    </w:p>
    <w:p>
      <w:pPr>
        <w:pStyle w:val="FirstParagraph"/>
      </w:pPr>
      <w:r>
        <w:t xml:space="preserve">This audience prioritizes professional growth over mere salary—making Paris’ ecosystem a strategic draw.</w:t>
      </w:r>
    </w:p>
    <w:bookmarkEnd w:id="22"/>
    <w:bookmarkStart w:id="23" w:name="Xbc430857f9ca15266a541d0ae9ac21d78ec3aea"/>
    <w:p>
      <w:pPr>
        <w:pStyle w:val="Heading2"/>
      </w:pPr>
      <w:r>
        <w:t xml:space="preserve">Unique Value Proposition: Why Paris? Why Now?</w:t>
      </w:r>
    </w:p>
    <w:p>
      <w:pPr>
        <w:pStyle w:val="FirstParagraph"/>
      </w:pPr>
      <w:r>
        <w:t xml:space="preserve">Our Marketing Plan centers on three pillars that resonate uniquely with Telecommunication Engineers in France’s capital:</w:t>
      </w:r>
    </w:p>
    <w:p>
      <w:pPr>
        <w:numPr>
          <w:ilvl w:val="0"/>
          <w:numId w:val="1002"/>
        </w:numPr>
        <w:pStyle w:val="Compact"/>
      </w:pPr>
      <w:r>
        <w:rPr>
          <w:bCs/>
          <w:b/>
        </w:rPr>
        <w:t xml:space="preserve">Paris as a Tech Epicenter</w:t>
      </w:r>
      <w:r>
        <w:t xml:space="preserve">: We emphasize hands-on experience with Paris-specific projects—like managing network densification for the 2024 Olympics or deploying AI-driven traffic management systems across Parisian boulevards. This isn’t just another job; it’s a chance to shape the digital identity of Europe’s most iconic city.</w:t>
      </w:r>
    </w:p>
    <w:p>
      <w:pPr>
        <w:numPr>
          <w:ilvl w:val="0"/>
          <w:numId w:val="1002"/>
        </w:numPr>
        <w:pStyle w:val="Compact"/>
      </w:pPr>
      <w:r>
        <w:rPr>
          <w:bCs/>
          <w:b/>
        </w:rPr>
        <w:t xml:space="preserve">France’s Engineering Culture</w:t>
      </w:r>
      <w:r>
        <w:t xml:space="preserve">: We highlight France Paris’ emphasis on collaborative R&amp;D (e.g., partnerships with École Polytechnique, Télécom Paris) and work-life balance laws (35-hour week, 5 weeks’ paid leave). This differentiates us from Silicon Valley’s "hustle" culture.</w:t>
      </w:r>
    </w:p>
    <w:p>
      <w:pPr>
        <w:numPr>
          <w:ilvl w:val="0"/>
          <w:numId w:val="1002"/>
        </w:numPr>
        <w:pStyle w:val="Compact"/>
      </w:pPr>
      <w:r>
        <w:rPr>
          <w:bCs/>
          <w:b/>
        </w:rPr>
        <w:t xml:space="preserve">Future-Proof Career Path</w:t>
      </w:r>
      <w:r>
        <w:t xml:space="preserve">: We position the role as a gateway to emerging fields—6G research, quantum networking, and EU digital sovereignty initiatives—all headquartered in Paris. Telecommunication Engineers here gain rare expertise applicable across European markets.</w:t>
      </w:r>
    </w:p>
    <w:bookmarkEnd w:id="23"/>
    <w:bookmarkStart w:id="27" w:name="marketing-strategies-tactics"/>
    <w:p>
      <w:pPr>
        <w:pStyle w:val="Heading2"/>
      </w:pPr>
      <w:r>
        <w:t xml:space="preserve">Marketing Strategies &amp; Tactics</w:t>
      </w:r>
    </w:p>
    <w:p>
      <w:pPr>
        <w:pStyle w:val="FirstParagraph"/>
      </w:pPr>
      <w:r>
        <w:t xml:space="preserve">Our channel mix targets Paris-based engineers through hyper-localized engagement:</w:t>
      </w:r>
    </w:p>
    <w:bookmarkStart w:id="24" w:name="X9effb0a463823b85ba38d72323e2b43e02c89b2"/>
    <w:p>
      <w:pPr>
        <w:pStyle w:val="Heading3"/>
      </w:pPr>
      <w:r>
        <w:t xml:space="preserve">1. Digital Recruitment Campaign (France Paris Focus)</w:t>
      </w:r>
    </w:p>
    <w:p>
      <w:pPr>
        <w:numPr>
          <w:ilvl w:val="0"/>
          <w:numId w:val="1003"/>
        </w:numPr>
        <w:pStyle w:val="Compact"/>
      </w:pPr>
      <w:r>
        <w:rPr>
          <w:bCs/>
          <w:b/>
        </w:rPr>
        <w:t xml:space="preserve">LinkedIn Targeting</w:t>
      </w:r>
      <w:r>
        <w:t xml:space="preserve">: Geo-fenced ads to Paris metro areas, targeting users with keywords like "telecom engineer," "5G deployment," and "Paris tech." Content highlights: “Designing the network for 2 million Parisians during the 2024 Games” (case study).</w:t>
      </w:r>
    </w:p>
    <w:p>
      <w:pPr>
        <w:numPr>
          <w:ilvl w:val="0"/>
          <w:numId w:val="1003"/>
        </w:numPr>
        <w:pStyle w:val="Compact"/>
      </w:pPr>
      <w:r>
        <w:rPr>
          <w:bCs/>
          <w:b/>
        </w:rPr>
        <w:t xml:space="preserve">Paris Tech Community Partnerships</w:t>
      </w:r>
      <w:r>
        <w:t xml:space="preserve">: Sponsor events at Station F and La Maison des Sciences de l’Homme, hosting panel discussions with Orange’s Paris network leads on “Engineering France’s Digital Future.”</w:t>
      </w:r>
    </w:p>
    <w:bookmarkEnd w:id="24"/>
    <w:bookmarkStart w:id="25" w:name="X3b11d39138a43e84e74fa8b712d6655542f7016"/>
    <w:p>
      <w:pPr>
        <w:pStyle w:val="Heading3"/>
      </w:pPr>
      <w:r>
        <w:t xml:space="preserve">2. Employer Branding: Showcasing Life as a Telecommunication Engineer in Paris</w:t>
      </w:r>
    </w:p>
    <w:p>
      <w:pPr>
        <w:numPr>
          <w:ilvl w:val="0"/>
          <w:numId w:val="1004"/>
        </w:numPr>
        <w:pStyle w:val="Compact"/>
      </w:pPr>
      <w:r>
        <w:rPr>
          <w:bCs/>
          <w:b/>
        </w:rPr>
        <w:t xml:space="preserve">Video Testimonials</w:t>
      </w:r>
      <w:r>
        <w:t xml:space="preserve">: Short films featuring current Telecommunication Engineers in Paris discussing projects (e.g., “How I optimized 4G coverage for the Champs-Élysées during Fashion Week”).</w:t>
      </w:r>
    </w:p>
    <w:p>
      <w:pPr>
        <w:numPr>
          <w:ilvl w:val="0"/>
          <w:numId w:val="1004"/>
        </w:numPr>
        <w:pStyle w:val="Compact"/>
      </w:pPr>
      <w:r>
        <w:rPr>
          <w:bCs/>
          <w:b/>
        </w:rPr>
        <w:t xml:space="preserve">Paris-Centric Perks</w:t>
      </w:r>
      <w:r>
        <w:t xml:space="preserve">: Marketing collateral showcasing relocation support (e.g., subsidized Eiffel Tower apartments, cultural visa assistance) and Parisian benefits: €150/month public transport pass, access to startup incubators near Montparnasse.</w:t>
      </w:r>
    </w:p>
    <w:bookmarkEnd w:id="25"/>
    <w:bookmarkStart w:id="26" w:name="university-academic-outreach"/>
    <w:p>
      <w:pPr>
        <w:pStyle w:val="Heading3"/>
      </w:pPr>
      <w:r>
        <w:t xml:space="preserve">3. University &amp; Academic Outreach</w:t>
      </w:r>
    </w:p>
    <w:p>
      <w:pPr>
        <w:pStyle w:val="FirstParagraph"/>
      </w:pPr>
      <w:r>
        <w:t xml:space="preserve">Collaborate with top French engineering schools in Paris (École Centrale, Télécom Paris) for:</w:t>
      </w:r>
      <w:r>
        <w:t xml:space="preserve"> </w:t>
      </w:r>
      <w:r>
        <w:t xml:space="preserve">- Sponsored master’s projects on Paris urban connectivity</w:t>
      </w:r>
      <w:r>
        <w:t xml:space="preserve"> </w:t>
      </w:r>
      <w:r>
        <w:t xml:space="preserve">- “Paris Telecom Career Day” events at École des Ponts</w:t>
      </w:r>
      <w:r>
        <w:t xml:space="preserve"> </w:t>
      </w:r>
      <w:r>
        <w:t xml:space="preserve">- Internship-to-hire pipelines targeting final-year Telecommunication Engineering students</w:t>
      </w:r>
    </w:p>
    <w:bookmarkEnd w:id="26"/>
    <w:bookmarkEnd w:id="27"/>
    <w:bookmarkStart w:id="28"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(Paris-Specific)</w:t>
            </w:r>
          </w:p>
        </w:tc>
        <w:tc>
          <w:tcPr/>
          <w:p>
            <w:pPr>
              <w:pStyle w:val="Compact"/>
              <w:jc w:val="left"/>
            </w:pPr>
            <w:r>
              <w:t xml:space="preserve">Budget Allocation</w:t>
            </w:r>
          </w:p>
        </w:tc>
      </w:tr>
      <w:tr>
        <w:tc>
          <w:tcPr/>
          <w:p>
            <w:pPr>
              <w:pStyle w:val="Compact"/>
              <w:jc w:val="left"/>
            </w:pPr>
            <w:r>
              <w:t xml:space="preserve">Market Research &amp; Persona Refinement</w:t>
            </w:r>
          </w:p>
        </w:tc>
        <w:tc>
          <w:tcPr/>
          <w:p>
            <w:pPr>
              <w:pStyle w:val="Compact"/>
              <w:jc w:val="left"/>
            </w:pPr>
            <w:r>
              <w:t xml:space="preserve">Jan–Feb 2024</w:t>
            </w:r>
          </w:p>
        </w:tc>
        <w:tc>
          <w:tcPr/>
          <w:p>
            <w:pPr>
              <w:pStyle w:val="Compact"/>
              <w:jc w:val="left"/>
            </w:pPr>
            <w:r>
              <w:t xml:space="preserve">€15,000</w:t>
            </w:r>
          </w:p>
        </w:tc>
      </w:tr>
      <w:tr>
        <w:tc>
          <w:tcPr/>
          <w:p>
            <w:pPr>
              <w:pStyle w:val="Compact"/>
              <w:jc w:val="left"/>
            </w:pPr>
            <w:r>
              <w:t xml:space="preserve">Digital Campaign Launch (LinkedIn/Event Sponsorships)</w:t>
            </w:r>
          </w:p>
        </w:tc>
        <w:tc>
          <w:tcPr/>
          <w:p>
            <w:pPr>
              <w:pStyle w:val="Compact"/>
              <w:jc w:val="left"/>
            </w:pPr>
            <w:r>
              <w:t xml:space="preserve">Mar–Jun 2024</w:t>
            </w:r>
          </w:p>
        </w:tc>
        <w:tc>
          <w:tcPr/>
          <w:p>
            <w:pPr>
              <w:pStyle w:val="Compact"/>
              <w:jc w:val="left"/>
            </w:pPr>
            <w:r>
              <w:t xml:space="preserve">€85,000</w:t>
            </w:r>
          </w:p>
        </w:tc>
      </w:tr>
      <w:tr>
        <w:tc>
          <w:tcPr/>
          <w:p>
            <w:pPr>
              <w:pStyle w:val="Compact"/>
              <w:jc w:val="left"/>
            </w:pPr>
            <w:r>
              <w:t xml:space="preserve">University Partnership Activation</w:t>
            </w:r>
          </w:p>
        </w:tc>
        <w:tc>
          <w:tcPr/>
          <w:p>
            <w:pPr>
              <w:pStyle w:val="Compact"/>
              <w:jc w:val="left"/>
            </w:pPr>
            <w:r>
              <w:t xml:space="preserve">Apr–Aug 2024</w:t>
            </w:r>
          </w:p>
        </w:tc>
        <w:tc>
          <w:tcPr/>
          <w:p>
            <w:pPr>
              <w:pStyle w:val="Compact"/>
              <w:jc w:val="left"/>
            </w:pPr>
            <w:r>
              <w:t xml:space="preserve">€35,000</w:t>
            </w:r>
          </w:p>
        </w:tc>
      </w:tr>
      <w:tr>
        <w:tc>
          <w:tcPr/>
          <w:p>
            <w:pPr>
              <w:pStyle w:val="Compact"/>
              <w:jc w:val="left"/>
            </w:pPr>
            <w:r>
              <w:t xml:space="preserve">Campaign Analysis &amp; Optimization</w:t>
            </w:r>
          </w:p>
        </w:tc>
        <w:tc>
          <w:tcPr/>
          <w:p>
            <w:pPr>
              <w:pStyle w:val="Compact"/>
              <w:jc w:val="left"/>
            </w:pPr>
            <w:r>
              <w:t xml:space="preserve">Sep–Dec 2024</w:t>
            </w:r>
          </w:p>
        </w:tc>
        <w:tc>
          <w:tcPr/>
          <w:p>
            <w:pPr>
              <w:pStyle w:val="Compact"/>
              <w:jc w:val="left"/>
            </w:pPr>
            <w:r>
              <w:t xml:space="preserve">€15,000</w:t>
            </w:r>
          </w:p>
        </w:tc>
      </w:tr>
    </w:tbl>
    <w:bookmarkEnd w:id="28"/>
    <w:bookmarkStart w:id="29" w:name="Xa90a635542f6667b3ca4831dde41274a6f6cab9"/>
    <w:p>
      <w:pPr>
        <w:pStyle w:val="Heading2"/>
      </w:pPr>
      <w:r>
        <w:t xml:space="preserve">Metrics for Success: Measuring Impact in France Paris</w:t>
      </w:r>
    </w:p>
    <w:p>
      <w:pPr>
        <w:pStyle w:val="FirstParagraph"/>
      </w:pPr>
      <w:r>
        <w:t xml:space="preserve">We track success through Paris-specific KPIs:</w:t>
      </w:r>
    </w:p>
    <w:p>
      <w:pPr>
        <w:numPr>
          <w:ilvl w:val="0"/>
          <w:numId w:val="1005"/>
        </w:numPr>
        <w:pStyle w:val="Compact"/>
      </w:pPr>
      <w:r>
        <w:rPr>
          <w:bCs/>
          <w:b/>
        </w:rPr>
        <w:t xml:space="preserve">Talent Acquisition Rate:</w:t>
      </w:r>
      <w:r>
        <w:t xml:space="preserve"> </w:t>
      </w:r>
      <w:r>
        <w:t xml:space="preserve">45% reduction in time-to-hire for Telecommunication Engineer roles vs. industry average (currently 102 days).</w:t>
      </w:r>
    </w:p>
    <w:p>
      <w:pPr>
        <w:numPr>
          <w:ilvl w:val="0"/>
          <w:numId w:val="1005"/>
        </w:numPr>
        <w:pStyle w:val="Compact"/>
      </w:pPr>
      <w:r>
        <w:rPr>
          <w:bCs/>
          <w:b/>
        </w:rPr>
        <w:t xml:space="preserve">Quality of Hire:</w:t>
      </w:r>
      <w:r>
        <w:t xml:space="preserve"> </w:t>
      </w:r>
      <w:r>
        <w:t xml:space="preserve">90% retention rate of hired Telecommunication Engineers after Year 1 (vs. industry avg: 72%).</w:t>
      </w:r>
    </w:p>
    <w:p>
      <w:pPr>
        <w:numPr>
          <w:ilvl w:val="0"/>
          <w:numId w:val="1005"/>
        </w:numPr>
        <w:pStyle w:val="Compact"/>
      </w:pPr>
      <w:r>
        <w:rPr>
          <w:bCs/>
          <w:b/>
        </w:rPr>
        <w:t xml:space="preserve">Brand Perception:</w:t>
      </w:r>
      <w:r>
        <w:t xml:space="preserve"> </w:t>
      </w:r>
      <w:r>
        <w:t xml:space="preserve">Increase in “Top Employer” mentions for telecom roles in Paris-based surveys (e.g., LinkedIn Employee Reviews) by 35% YoY.</w:t>
      </w:r>
    </w:p>
    <w:bookmarkEnd w:id="29"/>
    <w:bookmarkStart w:id="30" w:name="X796051939bd602b5d718cb91d7d6d46047433b4"/>
    <w:p>
      <w:pPr>
        <w:pStyle w:val="Heading2"/>
      </w:pPr>
      <w:r>
        <w:t xml:space="preserve">Conclusion: Engineering Paris’ Future, Together</w:t>
      </w:r>
    </w:p>
    <w:p>
      <w:pPr>
        <w:pStyle w:val="FirstParagraph"/>
      </w:pPr>
      <w:r>
        <w:t xml:space="preserve">This Marketing Plan strategically positions the Telecommunication Engineer role as indispensable to France’s digital ascendancy—and uniquely rewarding in Paris. By embedding our messaging within the city’s innovation narrative (not just listing job duties), we attract engineers who see themselves not merely as employees, but as architects of Paris’ 21st-century connectivity. In a market where talent is scarce and demand is surging, this targeted approach ensures our organization becomes synonymous with excellence in Telecommunication Engineering within France Paris. As the city’s digital infrastructure evolves, so too will our commitment to recruiting engineers who thrive in this dynamic environment—proving that the right Marketing Plan doesn’t just fill roles; it shapes a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France Paris</dc:title>
  <dc:creator/>
  <dc:language>en</dc:language>
  <cp:keywords/>
  <dcterms:created xsi:type="dcterms:W3CDTF">2026-07-21T07:38:52Z</dcterms:created>
  <dcterms:modified xsi:type="dcterms:W3CDTF">2026-07-21T07:38:52Z</dcterms:modified>
</cp:coreProperties>
</file>

<file path=docProps/custom.xml><?xml version="1.0" encoding="utf-8"?>
<Properties xmlns="http://schemas.openxmlformats.org/officeDocument/2006/custom-properties" xmlns:vt="http://schemas.openxmlformats.org/officeDocument/2006/docPropsVTypes"/>
</file>