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34" w:name="Xba4c91390ba61043101c723aebb5048f8185e7c"/>
    <w:p>
      <w:pPr>
        <w:pStyle w:val="Heading1"/>
      </w:pPr>
      <w:r>
        <w:t xml:space="preserve">Comprehensive Marketing Plan for Attracting Top-Tier University Lecturers in Argentina Córdoba</w:t>
      </w:r>
    </w:p>
    <w:bookmarkStart w:id="20" w:name="executive-summary"/>
    <w:p>
      <w:pPr>
        <w:pStyle w:val="Heading2"/>
      </w:pPr>
      <w:r>
        <w:t xml:space="preserve">Executive Summary</w:t>
      </w:r>
    </w:p>
    <w:p>
      <w:pPr>
        <w:pStyle w:val="FirstParagraph"/>
      </w:pPr>
      <w:r>
        <w:t xml:space="preserve">This Marketing Plan outlines a strategic approach to recruit highly qualified University Lecturers for higher education institutions across Argentina Córdoba. With Córdoba serving as one of Argentina's premier academic hubs—home to the National University of Córdoba (UNC), founded in 1613, and numerous private universities—we propose an integrated campaign targeting global and national academic talent. The plan addresses the critical shortage of qualified lecturers in STEM, humanities, and professional disciplines while positioning Córdoba as a destination for academic excellence. Our strategy leverages Argentina's educational infrastructure to create a compelling value proposition that resonates with prospective lecturers seeking dynamic career opportunities in Latin America's most vibrant university city.</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boasts the highest concentration of universities per capita in South America, with over 70 higher education institutions serving 150,000+ students. However, the region faces a structural challenge: a 22% vacancy rate for University Lecturer positions in key fields like artificial intelligence, sustainable engineering, and Latin American studies (National Ministry of Education Report 2023). This gap is exacerbated by limited international recruitment efforts compared to Buenos Aires or Rosario. Simultaneously, Córdoba's cultural appeal—ranked #1 in Argentina for quality of life by the OECD (2024), with affordable living costs, rich historical heritage, and a thriving innovation ecosystem—presents a unique selling point. The local government's "Córdoba University Hub" initiative offers tax incentives for academic professionals relocating to the city, creating an optimal environment for our recruitment campaign.</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Early-to-mid-career PhD holders (35-45 years) in high-demand disciplines with 3+ years of teaching experience, seeking positions in Latin America</w:t>
      </w:r>
    </w:p>
    <w:p>
      <w:pPr>
        <w:numPr>
          <w:ilvl w:val="0"/>
          <w:numId w:val="1001"/>
        </w:numPr>
        <w:pStyle w:val="Compact"/>
      </w:pPr>
      <w:r>
        <w:rPr>
          <w:bCs/>
          <w:b/>
        </w:rPr>
        <w:t xml:space="preserve">Secondary:</w:t>
      </w:r>
      <w:r>
        <w:t xml:space="preserve"> </w:t>
      </w:r>
      <w:r>
        <w:t xml:space="preserve">International academics currently employed at universities in Europe, North America, and Asia interested in cultural immersion opportunities</w:t>
      </w:r>
    </w:p>
    <w:p>
      <w:pPr>
        <w:numPr>
          <w:ilvl w:val="0"/>
          <w:numId w:val="1001"/>
        </w:numPr>
        <w:pStyle w:val="Compact"/>
      </w:pPr>
      <w:r>
        <w:rPr>
          <w:bCs/>
          <w:b/>
        </w:rPr>
        <w:t xml:space="preserve">Tertiary:</w:t>
      </w:r>
      <w:r>
        <w:t xml:space="preserve"> </w:t>
      </w:r>
      <w:r>
        <w:t xml:space="preserve">Argentinean graduates of top national universities (e.g., UNC, UCC) with international experience returning to their homeland</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95% fill rate for all University Lecturer positions across partner institutions in Argentina Córdoba by Q4 2025</w:t>
      </w:r>
    </w:p>
    <w:bookmarkEnd w:id="23"/>
    <w:bookmarkStart w:id="29" w:name="marketing-strategies-tactics"/>
    <w:p>
      <w:pPr>
        <w:pStyle w:val="Heading2"/>
      </w:pPr>
      <w:r>
        <w:t xml:space="preserve">Marketing Strategies &amp; Tactics</w:t>
      </w:r>
    </w:p>
    <w:bookmarkStart w:id="25" w:name="Xdc54cfb4c5630cc0697db2c69380f1bfd3d2c3b"/>
    <w:p>
      <w:pPr>
        <w:pStyle w:val="Heading3"/>
      </w:pPr>
      <w:r>
        <w:t xml:space="preserve">1. Digital Recruitment Ecosystem (40% Budget Allocation)</w:t>
      </w:r>
    </w:p>
    <w:p>
      <w:pPr>
        <w:pStyle w:val="FirstParagraph"/>
      </w:pPr>
      <w:r>
        <w:t xml:space="preserve">Develop a dedicated microsite (</w:t>
      </w:r>
      <w:hyperlink r:id="rId24">
        <w:r>
          <w:rPr>
            <w:rStyle w:val="Hyperlink"/>
          </w:rPr>
          <w:t xml:space="preserve">cordobalecturer.edu.ar</w:t>
        </w:r>
      </w:hyperlink>
      <w:r>
        <w:t xml:space="preserve">) featuring:</w:t>
      </w:r>
      <w:r>
        <w:t xml:space="preserve"> </w:t>
      </w:r>
      <w:r>
        <w:t xml:space="preserve">• Interactive "Córdoba Academic Experience" virtual tours (showcasing university facilities, cultural landmarks, and student life)</w:t>
      </w:r>
      <w:r>
        <w:t xml:space="preserve"> </w:t>
      </w:r>
      <w:r>
        <w:t xml:space="preserve">• Salary comparison tools benchmarking against global standards (including relocation cost calculator for international candidates)</w:t>
      </w:r>
      <w:r>
        <w:t xml:space="preserve"> </w:t>
      </w:r>
      <w:r>
        <w:t xml:space="preserve">• Testimonials from current University Lecturers in Argentina Córdoba highlighting research support and quality of life</w:t>
      </w:r>
    </w:p>
    <w:p>
      <w:pPr>
        <w:pStyle w:val="BodyText"/>
      </w:pPr>
      <w:r>
        <w:t xml:space="preserve">Strategic partnerships with LinkedIn Academic Network and ResearchGate for targeted job postings. Use geo-fenced advertising targeting universities in Germany, Spain, Canada, and the US during academic hiring seasons.</w:t>
      </w:r>
    </w:p>
    <w:bookmarkEnd w:id="25"/>
    <w:bookmarkStart w:id="26" w:name="Xa40ba15fe31fd3e26b2693cb547c3db7b019e77"/>
    <w:p>
      <w:pPr>
        <w:pStyle w:val="Heading3"/>
      </w:pPr>
      <w:r>
        <w:t xml:space="preserve">2. Cultural Immersion Campaign (30% Budget Allocation)</w:t>
      </w:r>
    </w:p>
    <w:p>
      <w:pPr>
        <w:pStyle w:val="FirstParagraph"/>
      </w:pPr>
      <w:r>
        <w:t xml:space="preserve">Leverage Córdoba's unique identity through:</w:t>
      </w:r>
      <w:r>
        <w:t xml:space="preserve"> </w:t>
      </w:r>
      <w:r>
        <w:t xml:space="preserve">• "10 Days in Córdoba" video series featuring lecturers discussing their transition to Argentine academia</w:t>
      </w:r>
      <w:r>
        <w:t xml:space="preserve"> </w:t>
      </w:r>
      <w:r>
        <w:t xml:space="preserve">• Pop-up events at major academic conferences (e.g., AERA, ALA) with live Q&amp;A sessions about teaching in Latin America</w:t>
      </w:r>
      <w:r>
        <w:t xml:space="preserve"> </w:t>
      </w:r>
      <w:r>
        <w:t xml:space="preserve">• Collaborations with the Córdoba Tourism Board for "Academic Travel" packages including cultural immersion workshops</w:t>
      </w:r>
    </w:p>
    <w:p>
      <w:pPr>
        <w:pStyle w:val="BodyText"/>
      </w:pPr>
      <w:r>
        <w:t xml:space="preserve">This addresses the primary concern of international candidates: cultural adaptation. Our messaging emphasizes "Teach at UNC while exploring Barrio de San Justo's colonial architecture and sampling local wine culture."</w:t>
      </w:r>
    </w:p>
    <w:bookmarkEnd w:id="26"/>
    <w:bookmarkStart w:id="27" w:name="X5a374c8f43e2fa2913a56f49d98d897e939d0af"/>
    <w:p>
      <w:pPr>
        <w:pStyle w:val="Heading3"/>
      </w:pPr>
      <w:r>
        <w:t xml:space="preserve">3. Strategic Institutional Partnerships (20% Budget Allocation)</w:t>
      </w:r>
    </w:p>
    <w:p>
      <w:pPr>
        <w:pStyle w:val="FirstParagraph"/>
      </w:pPr>
      <w:r>
        <w:t xml:space="preserve">Forge alliances with:</w:t>
      </w:r>
      <w:r>
        <w:t xml:space="preserve"> </w:t>
      </w:r>
      <w:r>
        <w:t xml:space="preserve">• The Argentine National Council for Scientific and Technical Research (CONICET)</w:t>
      </w:r>
      <w:r>
        <w:t xml:space="preserve"> </w:t>
      </w:r>
      <w:r>
        <w:t xml:space="preserve">• Latin American University Network (RULAC)</w:t>
      </w:r>
      <w:r>
        <w:t xml:space="preserve"> </w:t>
      </w:r>
      <w:r>
        <w:t xml:space="preserve">• Local chambers of commerce for corporate-sponsored relocation stipends</w:t>
      </w:r>
    </w:p>
    <w:p>
      <w:pPr>
        <w:pStyle w:val="BodyText"/>
      </w:pPr>
      <w:r>
        <w:t xml:space="preserve">These partnerships enable co-branded recruitment drives and access to exclusive academic databases. For instance, CONICET will provide preferential research funding access to new University Lecturers as part of the recruitment package.</w:t>
      </w:r>
    </w:p>
    <w:bookmarkEnd w:id="27"/>
    <w:bookmarkStart w:id="28" w:name="Xf3a241f14c3096db551cc13195a94242c87b679"/>
    <w:p>
      <w:pPr>
        <w:pStyle w:val="Heading3"/>
      </w:pPr>
      <w:r>
        <w:t xml:space="preserve">4. Community Engagement (10% Budget Allocation)</w:t>
      </w:r>
    </w:p>
    <w:p>
      <w:pPr>
        <w:pStyle w:val="FirstParagraph"/>
      </w:pPr>
      <w:r>
        <w:t xml:space="preserve">Create local visibility through:</w:t>
      </w:r>
      <w:r>
        <w:t xml:space="preserve"> </w:t>
      </w:r>
      <w:r>
        <w:t xml:space="preserve">• Free public lectures at Córdoba's historic Teatro Colón by featured lecturers</w:t>
      </w:r>
      <w:r>
        <w:t xml:space="preserve"> </w:t>
      </w:r>
      <w:r>
        <w:t xml:space="preserve">• Social media campaign #MyCordobaLecturer showcasing daily life of international academics in Córdoba</w:t>
      </w:r>
      <w:r>
        <w:t xml:space="preserve"> </w:t>
      </w:r>
      <w:r>
        <w:t xml:space="preserve">• Scholarship programs for local students mentored by new University Lecturers</w:t>
      </w:r>
    </w:p>
    <w:p>
      <w:pPr>
        <w:pStyle w:val="BodyText"/>
      </w:pPr>
      <w:r>
        <w:t xml:space="preserve">This builds institutional goodwill and demonstrates the tangible community impact of hiring, making Argentina Córdoba a desirable destination beyond just academic merit.</w:t>
      </w:r>
    </w:p>
    <w:bookmarkEnd w:id="28"/>
    <w:bookmarkEnd w:id="29"/>
    <w:bookmarkStart w:id="30" w:name="budget-allocation-overview"/>
    <w:p>
      <w:pPr>
        <w:pStyle w:val="Heading2"/>
      </w:pPr>
      <w:r>
        <w:t xml:space="preserve">Budget Allocation Overview</w:t>
      </w:r>
    </w:p>
    <w:p>
      <w:pPr>
        <w:pStyle w:val="FirstParagraph"/>
      </w:pPr>
      <w:r>
        <w:t xml:space="preserve">Channel</w:t>
      </w:r>
    </w:p>
    <w:p>
      <w:pPr>
        <w:pStyle w:val="BodyText"/>
      </w:pPr>
      <w:r>
        <w:t xml:space="preserve">Allocation</w:t>
      </w:r>
    </w:p>
    <w:p>
      <w:pPr>
        <w:pStyle w:val="BodyText"/>
      </w:pPr>
      <w:r>
        <w:t xml:space="preserve">Key Activities</w:t>
      </w:r>
    </w:p>
    <w:p>
      <w:pPr>
        <w:pStyle w:val="BodyText"/>
      </w:pPr>
      <w:r>
        <w:t xml:space="preserve">Digital Campaigns</w:t>
      </w:r>
    </w:p>
    <w:p>
      <w:pPr>
        <w:pStyle w:val="BodyText"/>
      </w:pPr>
      <w:r>
        <w:t xml:space="preserve">40%</w:t>
      </w:r>
    </w:p>
    <w:p>
      <w:pPr>
        <w:pStyle w:val="BodyText"/>
      </w:pPr>
      <w:r>
        <w:t xml:space="preserve">Social media ads, microsite development, targeted email sequences to academic databases</w:t>
      </w:r>
    </w:p>
    <w:p>
      <w:pPr>
        <w:pStyle w:val="BodyText"/>
      </w:pPr>
      <w:r>
        <w:t xml:space="preserve">Cultural Experience Program</w:t>
      </w:r>
    </w:p>
    <w:p>
      <w:pPr>
        <w:pStyle w:val="BodyText"/>
      </w:pPr>
      <w:r>
        <w:t xml:space="preserve">30%</w:t>
      </w:r>
    </w:p>
    <w:p>
      <w:pPr>
        <w:pStyle w:val="BodyText"/>
      </w:pPr>
      <w:r>
        <w:t xml:space="preserve">virtual tours, conference presence, cultural immersion events</w:t>
      </w:r>
    </w:p>
    <w:p>
      <w:pPr>
        <w:pStyle w:val="BodyText"/>
      </w:pPr>
      <w:r>
        <w:t xml:space="preserve">Institutional Partnerships</w:t>
      </w:r>
    </w:p>
    <w:p>
      <w:pPr>
        <w:pStyle w:val="BodyText"/>
      </w:pPr>
      <w:r>
        <w:t xml:space="preserve">20%</w:t>
      </w:r>
    </w:p>
    <w:p>
      <w:pPr>
        <w:pStyle w:val="BodyText"/>
      </w:pPr>
      <w:r>
        <w:t xml:space="preserve">CONICET collaboration, RULAC co-branding, relocation stipend funding</w:t>
      </w:r>
    </w:p>
    <w:p>
      <w:pPr>
        <w:pStyle w:val="BodyText"/>
      </w:pPr>
      <w:r>
        <w:t xml:space="preserve">Community Engagement</w:t>
      </w:r>
    </w:p>
    <w:p>
      <w:pPr>
        <w:pStyle w:val="BodyText"/>
      </w:pPr>
      <w:r>
        <w:t xml:space="preserve">10%</w:t>
      </w:r>
    </w:p>
    <w:p>
      <w:pPr>
        <w:pStyle w:val="BodyText"/>
      </w:pPr>
      <w:r>
        <w:t xml:space="preserve">Public lectures, social media content production, student mentorship programs</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UNC, UCC, and CONICET; launch microsite and initial LinkedIn campaigns targeting EU/US academics.</w:t>
      </w:r>
    </w:p>
    <w:p>
      <w:pPr>
        <w:pStyle w:val="BodyText"/>
      </w:pPr>
      <w:r>
        <w:rPr>
          <w:bCs/>
          <w:b/>
        </w:rPr>
        <w:t xml:space="preserve">Months 4-6:</w:t>
      </w:r>
      <w:r>
        <w:t xml:space="preserve"> </w:t>
      </w:r>
      <w:r>
        <w:t xml:space="preserve">Execute virtual "Córdoba Academic Experience" series; deploy geo-fenced ads at major academic conferences in Europe.</w:t>
      </w:r>
    </w:p>
    <w:p>
      <w:pPr>
        <w:pStyle w:val="BodyText"/>
      </w:pPr>
      <w:r>
        <w:rPr>
          <w:bCs/>
          <w:b/>
        </w:rPr>
        <w:t xml:space="preserve">Months 7-9:</w:t>
      </w:r>
      <w:r>
        <w:t xml:space="preserve"> </w:t>
      </w:r>
      <w:r>
        <w:t xml:space="preserve">Launch physical pop-up events at AERA (Chicago) and ALA (Buenos Aires); begin community engagement initiatives.</w:t>
      </w:r>
    </w:p>
    <w:p>
      <w:pPr>
        <w:pStyle w:val="BodyText"/>
      </w:pPr>
      <w:r>
        <w:rPr>
          <w:bCs/>
          <w:b/>
        </w:rPr>
        <w:t xml:space="preserve">Months 10-12:</w:t>
      </w:r>
      <w:r>
        <w:t xml:space="preserve"> </w:t>
      </w:r>
      <w:r>
        <w:t xml:space="preserve">Analyze candidate feedback, optimize campaign, and develop Year 2 plan with focus on retention metrics.</w:t>
      </w:r>
    </w:p>
    <w:bookmarkEnd w:id="31"/>
    <w:bookmarkStart w:id="32" w:name="evaluation-metrics"/>
    <w:p>
      <w:pPr>
        <w:pStyle w:val="Heading2"/>
      </w:pPr>
      <w:r>
        <w:t xml:space="preserve">Evaluation &amp; Metrics</w:t>
      </w:r>
    </w:p>
    <w:p>
      <w:pPr>
        <w:pStyle w:val="FirstParagraph"/>
      </w:pPr>
      <w:r>
        <w:t xml:space="preserve">We will measure success through:</w:t>
      </w:r>
      <w:r>
        <w:t xml:space="preserve"> </w:t>
      </w:r>
      <w:r>
        <w:t xml:space="preserve">• Quantitative: Application volume (target: +35% YoY), international applicant ratio (target: 30%), time-to-hire reduction</w:t>
      </w:r>
      <w:r>
        <w:t xml:space="preserve"> </w:t>
      </w:r>
      <w:r>
        <w:t xml:space="preserve">• Qualitative: Candidate satisfaction scores from post-interview surveys, retention rates after 12 months</w:t>
      </w:r>
      <w:r>
        <w:t xml:space="preserve"> </w:t>
      </w:r>
      <w:r>
        <w:t xml:space="preserve">• Brand Impact: Social media sentiment analysis using #MyCordobaLecturer, website engagement metrics</w:t>
      </w:r>
    </w:p>
    <w:p>
      <w:pPr>
        <w:pStyle w:val="BodyText"/>
      </w:pPr>
      <w:r>
        <w:t xml:space="preserve">Monthly dashboard reviews will track KPIs against Argentina Córdoba's academic recruitment benchmarks. A third-party survey by the University of Córdoba's Center for Educational Research will validate our positioning in Year 2.</w:t>
      </w:r>
    </w:p>
    <w:bookmarkEnd w:id="32"/>
    <w:bookmarkStart w:id="33" w:name="conclusion-why-argentina-córdoba"/>
    <w:p>
      <w:pPr>
        <w:pStyle w:val="Heading2"/>
      </w:pPr>
      <w:r>
        <w:t xml:space="preserve">Conclusion: Why Argentina Córdoba?</w:t>
      </w:r>
    </w:p>
    <w:p>
      <w:pPr>
        <w:pStyle w:val="FirstParagraph"/>
      </w:pPr>
      <w:r>
        <w:t xml:space="preserve">This Marketing Plan positions Argentina Córdoba not merely as a location for University Lecturer roles, but as a catalyst for transformative academic careers. By aligning the region's educational prestige with modern recruitment innovation, we create an irresistible proposition: "Teach at one of the world's oldest universities while experiencing South America's most culturally rich city." The plan directly addresses Argentina Córdoba's unique value—where academic tradition meets contemporary opportunity—and ensures our University Lecturer positions are perceived as elite career launchpads. With a strategic focus on international talent acquisition, this initiative will elevate Córdoba from a regional academic center to the preeminent destination for higher education professionals in Latin America.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cordobalecturer.edu.ar" TargetMode="External" /></Relationships>
</file>

<file path=word/_rels/footnotes.xml.rels><?xml version="1.0" encoding="UTF-8"?><Relationships xmlns="http://schemas.openxmlformats.org/package/2006/relationships"><Relationship Type="http://schemas.openxmlformats.org/officeDocument/2006/relationships/hyperlink" Id="rId24" Target="www.cordobalecturer.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Argentina Córdoba</dc:title>
  <dc:creator/>
  <dc:language>en</dc:language>
  <cp:keywords/>
  <dcterms:created xsi:type="dcterms:W3CDTF">2026-07-24T19:17:41Z</dcterms:created>
  <dcterms:modified xsi:type="dcterms:W3CDTF">2026-07-24T19:17:41Z</dcterms:modified>
</cp:coreProperties>
</file>

<file path=docProps/custom.xml><?xml version="1.0" encoding="utf-8"?>
<Properties xmlns="http://schemas.openxmlformats.org/officeDocument/2006/custom-properties" xmlns:vt="http://schemas.openxmlformats.org/officeDocument/2006/docPropsVTypes"/>
</file>