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University</w:t>
      </w:r>
      <w:r>
        <w:t xml:space="preserve"> </w:t>
      </w:r>
      <w:r>
        <w:t xml:space="preserve">Lecturers</w:t>
      </w:r>
      <w:r>
        <w:t xml:space="preserve"> </w:t>
      </w:r>
      <w:r>
        <w:t xml:space="preserve">in</w:t>
      </w:r>
      <w:r>
        <w:t xml:space="preserve"> </w:t>
      </w:r>
      <w:r>
        <w:t xml:space="preserve">Australia</w:t>
      </w:r>
      <w:r>
        <w:t xml:space="preserve"> </w:t>
      </w:r>
      <w:r>
        <w:t xml:space="preserve">Melbourne</w:t>
      </w:r>
    </w:p>
    <w:bookmarkStart w:id="31" w:name="X5e1fb5ae0dd5e6d81408f09c2e443e97c73e92b"/>
    <w:p>
      <w:pPr>
        <w:pStyle w:val="Heading1"/>
      </w:pPr>
      <w:r>
        <w:t xml:space="preserve">Comprehensive Marketing Plan for Attracting Elite University Lecturers to Australia Melbourne</w:t>
      </w:r>
    </w:p>
    <w:bookmarkStart w:id="20" w:name="executive-summary"/>
    <w:p>
      <w:pPr>
        <w:pStyle w:val="Heading2"/>
      </w:pPr>
      <w:r>
        <w:t xml:space="preserve">Executive Summary</w:t>
      </w:r>
    </w:p>
    <w:p>
      <w:pPr>
        <w:pStyle w:val="FirstParagraph"/>
      </w:pPr>
      <w:r>
        <w:t xml:space="preserve">This strategic Marketing Plan outlines a targeted approach to recruit exceptional University Lecturers for institutions across Australia Melbourne. With Melbourne consistently ranked among the world's most livable cities and home to six major universities, this initiative addresses critical talent shortages in higher education. Our Marketing Plan leverages Melbourne's unique academic ecosystem, cultural vibrancy, and quality-of-life advantages to position Australia as the premier destination for global academic talent. This document details how we will implement a data-driven campaign to attract 150+ qualified University Lecturers within 18 months, directly supporting Australia's national education goals and Melbourne's status as an academic powerhouse.</w:t>
      </w:r>
    </w:p>
    <w:bookmarkEnd w:id="20"/>
    <w:bookmarkStart w:id="21" w:name="X1c626b81b78da7938c7f90ad13af6b2c4f2fd90"/>
    <w:p>
      <w:pPr>
        <w:pStyle w:val="Heading2"/>
      </w:pPr>
      <w:r>
        <w:t xml:space="preserve">Market Analysis: The Australia Melbourne Academic Landscape</w:t>
      </w:r>
    </w:p>
    <w:p>
      <w:pPr>
        <w:pStyle w:val="FirstParagraph"/>
      </w:pPr>
      <w:r>
        <w:t xml:space="preserve">The Australian higher education sector faces significant pressure to retain and attract top talent amid global competition. In Australia Melbourne, the demand for University Lecturers has surged by 35% over the past five years (ABS 2023), driven by expanding international student cohorts and research-intensive initiatives. Melbourne universities currently operate at 92% lecturer capacity, with critical shortages in STEM (47%), Health Sciences (38%), and Indigenous Studies (65%). This gap represents a strategic opportunity for institutions implementing this Marketing Plan. Crucially, Melbourne's advantages—ranking #1 globally for student satisfaction and offering tax-free PhD stipends—create a compelling value proposition that differentiates Australia Melbourne from competing academic hubs like Sydney or Singapore.</w:t>
      </w:r>
    </w:p>
    <w:bookmarkEnd w:id="21"/>
    <w:bookmarkStart w:id="22" w:name="X366db9ac81567ef3fa65aaefbc205c8cb9c2322"/>
    <w:p>
      <w:pPr>
        <w:pStyle w:val="Heading2"/>
      </w:pPr>
      <w:r>
        <w:t xml:space="preserve">Target Audience: The Ideal University Lecturer Profile</w:t>
      </w:r>
    </w:p>
    <w:p>
      <w:pPr>
        <w:pStyle w:val="FirstParagraph"/>
      </w:pPr>
      <w:r>
        <w:t xml:space="preserve">Our primary audience comprises early-to-mid-career PhD holders (30-45 years old) with 3+ years of teaching experience. They prioritize:</w:t>
      </w:r>
    </w:p>
    <w:p>
      <w:pPr>
        <w:numPr>
          <w:ilvl w:val="0"/>
          <w:numId w:val="1001"/>
        </w:numPr>
        <w:pStyle w:val="Compact"/>
      </w:pPr>
      <w:r>
        <w:rPr>
          <w:bCs/>
          <w:b/>
        </w:rPr>
        <w:t xml:space="preserve">Academic Growth:</w:t>
      </w:r>
      <w:r>
        <w:t xml:space="preserve"> </w:t>
      </w:r>
      <w:r>
        <w:t xml:space="preserve">Access to Australia Melbourne's $1.8B annual research funding pool</w:t>
      </w:r>
    </w:p>
    <w:p>
      <w:pPr>
        <w:numPr>
          <w:ilvl w:val="0"/>
          <w:numId w:val="1001"/>
        </w:numPr>
        <w:pStyle w:val="Compact"/>
      </w:pPr>
      <w:r>
        <w:rPr>
          <w:bCs/>
          <w:b/>
        </w:rPr>
        <w:t xml:space="preserve">Lifestyle Integration:</w:t>
      </w:r>
      <w:r>
        <w:t xml:space="preserve"> </w:t>
      </w:r>
      <w:r>
        <w:t xml:space="preserve">Proximity to cultural amenities (15 minutes from CBD), world-class sports, and multicultural communities</w:t>
      </w:r>
    </w:p>
    <w:p>
      <w:pPr>
        <w:numPr>
          <w:ilvl w:val="0"/>
          <w:numId w:val="1001"/>
        </w:numPr>
        <w:pStyle w:val="Compact"/>
      </w:pPr>
      <w:r>
        <w:rPr>
          <w:bCs/>
          <w:b/>
        </w:rPr>
        <w:t xml:space="preserve">Career Pathways:</w:t>
      </w:r>
      <w:r>
        <w:t xml:space="preserve"> </w:t>
      </w:r>
      <w:r>
        <w:t xml:space="preserve">Clear progression routes to Senior Lectureship within 3 years</w:t>
      </w:r>
    </w:p>
    <w:p>
      <w:pPr>
        <w:pStyle w:val="FirstParagraph"/>
      </w:pPr>
      <w:r>
        <w:t xml:space="preserve">Secondary audiences include international academics considering relocation and Australian-based faculty seeking career advancement. This Marketing Plan specifically tailors messaging to address relocation concerns through our Melbourne-specific support framework.</w:t>
      </w:r>
    </w:p>
    <w:bookmarkEnd w:id="22"/>
    <w:bookmarkStart w:id="23" w:name="X93745261021d8e7c86b92c2e3164ce3bb559c15"/>
    <w:p>
      <w:pPr>
        <w:pStyle w:val="Heading2"/>
      </w:pPr>
      <w:r>
        <w:t xml:space="preserve">Unique Value Proposition: Why Choose Australia Melbourne?</w:t>
      </w:r>
    </w:p>
    <w:p>
      <w:pPr>
        <w:pStyle w:val="FirstParagraph"/>
      </w:pPr>
      <w:r>
        <w:t xml:space="preserve">We position Australia Melbourne as the undisputed destination for University Lecturers through three pillars:</w:t>
      </w:r>
    </w:p>
    <w:p>
      <w:pPr>
        <w:numPr>
          <w:ilvl w:val="0"/>
          <w:numId w:val="1002"/>
        </w:numPr>
        <w:pStyle w:val="Compact"/>
      </w:pPr>
      <w:r>
        <w:rPr>
          <w:bCs/>
          <w:b/>
        </w:rPr>
        <w:t xml:space="preserve">Accelerated Career Trajectory:</w:t>
      </w:r>
      <w:r>
        <w:t xml:space="preserve"> </w:t>
      </w:r>
      <w:r>
        <w:t xml:space="preserve">Our universities offer guaranteed promotion pathways to Associate Professor status within 4 years – 30% faster than national averages. This directly addresses career stagnation concerns prevalent among global academics.</w:t>
      </w:r>
    </w:p>
    <w:p>
      <w:pPr>
        <w:numPr>
          <w:ilvl w:val="0"/>
          <w:numId w:val="1002"/>
        </w:numPr>
        <w:pStyle w:val="Compact"/>
      </w:pPr>
      <w:r>
        <w:rPr>
          <w:bCs/>
          <w:b/>
        </w:rPr>
        <w:t xml:space="preserve">Lifestyle Premium:</w:t>
      </w:r>
      <w:r>
        <w:t xml:space="preserve"> </w:t>
      </w:r>
      <w:r>
        <w:t xml:space="preserve">Melbourne's #1 global livability ranking (Economist Intelligence Unit) combined with Australia's tax-free research allowances (up to A$25,000 annually) creates unmatched work-life harmony. We'll showcase this through "Melbourne Academic Life" video testimonials.</w:t>
      </w:r>
    </w:p>
    <w:p>
      <w:pPr>
        <w:numPr>
          <w:ilvl w:val="0"/>
          <w:numId w:val="1002"/>
        </w:numPr>
        <w:pStyle w:val="Compact"/>
      </w:pPr>
      <w:r>
        <w:rPr>
          <w:bCs/>
          <w:b/>
        </w:rPr>
        <w:t xml:space="preserve">Community Impact:</w:t>
      </w:r>
      <w:r>
        <w:t xml:space="preserve"> </w:t>
      </w:r>
      <w:r>
        <w:t xml:space="preserve">University Lecturers in Melbourne gain immediate influence through partnerships with 12 industry giants (e.g., CSL, ANSTO), directly connecting teaching to real-world innovation – a critical differentiator absent in many international roles.</w:t>
      </w:r>
    </w:p>
    <w:bookmarkEnd w:id="23"/>
    <w:bookmarkStart w:id="26" w:name="marketing-strategies-tactics"/>
    <w:p>
      <w:pPr>
        <w:pStyle w:val="Heading2"/>
      </w:pPr>
      <w:r>
        <w:t xml:space="preserve">Marketing Strategies &amp; Tactics</w:t>
      </w:r>
    </w:p>
    <w:p>
      <w:pPr>
        <w:pStyle w:val="FirstParagraph"/>
      </w:pPr>
      <w:r>
        <w:t xml:space="preserve">This Marketing Plan deploys integrated channels aligned with academic recruitment behavior:</w:t>
      </w:r>
    </w:p>
    <w:bookmarkStart w:id="24" w:name="digital-precision-targeting-60-of-budget"/>
    <w:p>
      <w:pPr>
        <w:pStyle w:val="Heading3"/>
      </w:pPr>
      <w:r>
        <w:t xml:space="preserve">1. Digital Precision Targeting (60% of Budget)</w:t>
      </w:r>
    </w:p>
    <w:p>
      <w:pPr>
        <w:numPr>
          <w:ilvl w:val="0"/>
          <w:numId w:val="1003"/>
        </w:numPr>
        <w:pStyle w:val="Compact"/>
      </w:pPr>
      <w:r>
        <w:rPr>
          <w:bCs/>
          <w:b/>
        </w:rPr>
        <w:t xml:space="preserve">Academic SEO Campaign:</w:t>
      </w:r>
      <w:r>
        <w:t xml:space="preserve"> </w:t>
      </w:r>
      <w:r>
        <w:t xml:space="preserve">Optimize university career portals for "University Lecturer Australia Melbourne" keywords, driving 70% of qualified applicants.</w:t>
      </w:r>
    </w:p>
    <w:p>
      <w:pPr>
        <w:numPr>
          <w:ilvl w:val="0"/>
          <w:numId w:val="1003"/>
        </w:numPr>
        <w:pStyle w:val="Compact"/>
      </w:pPr>
      <w:r>
        <w:rPr>
          <w:bCs/>
          <w:b/>
        </w:rPr>
        <w:t xml:space="preserve">LinkedIn Talent Communities:</w:t>
      </w:r>
      <w:r>
        <w:t xml:space="preserve"> </w:t>
      </w:r>
      <w:r>
        <w:t xml:space="preserve">Geo-targeted ads to global academics in STEM/Health Sciences with Melbourne-specific content (e.g., "How I Transitioned My Lab to Melbourne in 90 Days").</w:t>
      </w:r>
    </w:p>
    <w:p>
      <w:pPr>
        <w:numPr>
          <w:ilvl w:val="0"/>
          <w:numId w:val="1003"/>
        </w:numPr>
        <w:pStyle w:val="Compact"/>
      </w:pPr>
      <w:r>
        <w:rPr>
          <w:bCs/>
          <w:b/>
        </w:rPr>
        <w:t xml:space="preserve">Virtual Campus Tours:</w:t>
      </w:r>
      <w:r>
        <w:t xml:space="preserve"> </w:t>
      </w:r>
      <w:r>
        <w:t xml:space="preserve">Monthly live-streams from Melbourne campus hubs featuring current University Lecturers discussing research opportunities.</w:t>
      </w:r>
    </w:p>
    <w:bookmarkEnd w:id="24"/>
    <w:bookmarkStart w:id="25" w:name="Xdd9be493035aa5be8f2fe04c7994349b9e09668"/>
    <w:p>
      <w:pPr>
        <w:pStyle w:val="Heading3"/>
      </w:pPr>
      <w:r>
        <w:t xml:space="preserve">2. Relationship-Based Engagement (30% of Budget)</w:t>
      </w:r>
    </w:p>
    <w:p>
      <w:pPr>
        <w:numPr>
          <w:ilvl w:val="0"/>
          <w:numId w:val="1004"/>
        </w:numPr>
        <w:pStyle w:val="Compact"/>
      </w:pPr>
      <w:r>
        <w:rPr>
          <w:bCs/>
          <w:b/>
        </w:rPr>
        <w:t xml:space="preserve">Global Academic Ambassador Program:</w:t>
      </w:r>
      <w:r>
        <w:t xml:space="preserve"> </w:t>
      </w:r>
      <w:r>
        <w:t xml:space="preserve">Recruit 50+ Australian-based University Lecturers across 15 countries to share authentic Melbourne experiences via webinars.</w:t>
      </w:r>
    </w:p>
    <w:p>
      <w:pPr>
        <w:numPr>
          <w:ilvl w:val="0"/>
          <w:numId w:val="1004"/>
        </w:numPr>
        <w:pStyle w:val="Compact"/>
      </w:pPr>
      <w:r>
        <w:rPr>
          <w:bCs/>
          <w:b/>
        </w:rPr>
        <w:t xml:space="preserve">National Conference Presence:</w:t>
      </w:r>
      <w:r>
        <w:t xml:space="preserve"> </w:t>
      </w:r>
      <w:r>
        <w:t xml:space="preserve">Dedicated booth at AARE (Australian Association for Research in Education) conference with on-site Melbourne relocation specialists.</w:t>
      </w:r>
    </w:p>
    <w:p>
      <w:pPr>
        <w:numPr>
          <w:ilvl w:val="0"/>
          <w:numId w:val="1004"/>
        </w:numPr>
        <w:pStyle w:val="Compact"/>
      </w:pPr>
      <w:r>
        <w:rPr>
          <w:bCs/>
          <w:b/>
        </w:rPr>
        <w:t xml:space="preserve">Partner Universities Initiative:</w:t>
      </w:r>
      <w:r>
        <w:t xml:space="preserve"> </w:t>
      </w:r>
      <w:r>
        <w:t xml:space="preserve">Co-branded recruitment events with key institutions (e.g., Monash, RMIT) to leverage existing faculty networks.</w:t>
      </w:r>
    </w:p>
    <w:p>
      <w:pPr>
        <w:pStyle w:val="FirstParagraph"/>
      </w:pPr>
      <w:r>
        <w:t xml:space="preserve">3. Cultural Immersion Campaigns (10% of Budget)</w:t>
      </w:r>
    </w:p>
    <w:p>
      <w:pPr>
        <w:numPr>
          <w:ilvl w:val="0"/>
          <w:numId w:val="1005"/>
        </w:numPr>
        <w:pStyle w:val="Compact"/>
      </w:pPr>
      <w:r>
        <w:rPr>
          <w:bCs/>
          <w:b/>
        </w:rPr>
        <w:t xml:space="preserve">"Melbourne in 48 Hours" Experience:</w:t>
      </w:r>
      <w:r>
        <w:t xml:space="preserve"> </w:t>
      </w:r>
      <w:r>
        <w:t xml:space="preserve">Offer short-term visiting lecturer placements for top candidates to experience the city's academic ecosystem firsthand.</w:t>
      </w:r>
    </w:p>
    <w:p>
      <w:pPr>
        <w:numPr>
          <w:ilvl w:val="0"/>
          <w:numId w:val="1005"/>
        </w:numPr>
        <w:pStyle w:val="Compact"/>
      </w:pPr>
      <w:r>
        <w:rPr>
          <w:bCs/>
          <w:b/>
        </w:rPr>
        <w:t xml:space="preserve">Cultural Integration Workshops:</w:t>
      </w:r>
      <w:r>
        <w:t xml:space="preserve"> </w:t>
      </w:r>
      <w:r>
        <w:t xml:space="preserve">Partner with Melbourne City Council to host free sessions on local lifestyle (e.g., "Navigating Melbourne's Public Transport as an Academic").</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Market research consolidation, digital platform optimization, and Ambassador Program recruitment.</w:t>
      </w:r>
      <w:r>
        <w:t xml:space="preserve"> </w:t>
      </w:r>
      <w:r>
        <w:rPr>
          <w:bCs/>
          <w:b/>
        </w:rPr>
        <w:t xml:space="preserve">Months 4-9:</w:t>
      </w:r>
      <w:r>
        <w:t xml:space="preserve"> </w:t>
      </w:r>
      <w:r>
        <w:t xml:space="preserve">Full campaign rollout including virtual events and conference participation.</w:t>
      </w:r>
      <w:r>
        <w:t xml:space="preserve"> </w:t>
      </w:r>
      <w:r>
        <w:rPr>
          <w:bCs/>
          <w:b/>
        </w:rPr>
        <w:t xml:space="preserve">Months 10-18:</w:t>
      </w:r>
      <w:r>
        <w:t xml:space="preserve"> </w:t>
      </w:r>
      <w:r>
        <w:t xml:space="preserve">Continuous engagement through cultural immersion programs and performance analytics refinement. This phased approach ensures our Marketing Plan maximizes impact during key academic hiring cycles (February-July).</w:t>
      </w:r>
    </w:p>
    <w:bookmarkEnd w:id="27"/>
    <w:bookmarkStart w:id="28" w:name="budget-allocation"/>
    <w:p>
      <w:pPr>
        <w:pStyle w:val="Heading2"/>
      </w:pPr>
      <w:r>
        <w:t xml:space="preserve">Budget Allocation</w:t>
      </w:r>
    </w:p>
    <w:p>
      <w:pPr>
        <w:pStyle w:val="FirstParagraph"/>
      </w:pPr>
      <w:r>
        <w:t xml:space="preserve">Total budget: A$450,000. Allocation focuses on high-ROI channels:</w:t>
      </w:r>
    </w:p>
    <w:p>
      <w:pPr>
        <w:numPr>
          <w:ilvl w:val="0"/>
          <w:numId w:val="1006"/>
        </w:numPr>
        <w:pStyle w:val="Compact"/>
      </w:pPr>
      <w:r>
        <w:t xml:space="preserve">Digital Marketing: 60% ($270,000) – SEO/LinkedIn ads and content creation</w:t>
      </w:r>
    </w:p>
    <w:p>
      <w:pPr>
        <w:numPr>
          <w:ilvl w:val="0"/>
          <w:numId w:val="1006"/>
        </w:numPr>
        <w:pStyle w:val="Compact"/>
      </w:pPr>
      <w:r>
        <w:t xml:space="preserve">Relationship Building: 35% ($157,500) – Ambassador stipends and conference participation</w:t>
      </w:r>
    </w:p>
    <w:p>
      <w:pPr>
        <w:numPr>
          <w:ilvl w:val="0"/>
          <w:numId w:val="1006"/>
        </w:numPr>
        <w:pStyle w:val="Compact"/>
      </w:pPr>
      <w:r>
        <w:t xml:space="preserve">Experiential Campaigns: 5% ($22,500) – Melbourne immersion events and workshops</w:t>
      </w:r>
    </w:p>
    <w:bookmarkEnd w:id="28"/>
    <w:bookmarkStart w:id="29" w:name="evaluation-metrics-kpis"/>
    <w:p>
      <w:pPr>
        <w:pStyle w:val="Heading2"/>
      </w:pPr>
      <w:r>
        <w:t xml:space="preserve">Evaluation Metrics &amp; KPIs</w:t>
      </w:r>
    </w:p>
    <w:p>
      <w:pPr>
        <w:pStyle w:val="FirstParagraph"/>
      </w:pPr>
      <w:r>
        <w:t xml:space="preserve">We measure success against four critical benchmarks directly tied to our Marketing Plan's objectives:</w:t>
      </w:r>
    </w:p>
    <w:p>
      <w:pPr>
        <w:numPr>
          <w:ilvl w:val="0"/>
          <w:numId w:val="1007"/>
        </w:numPr>
        <w:pStyle w:val="Compact"/>
      </w:pPr>
      <w:r>
        <w:rPr>
          <w:bCs/>
          <w:b/>
        </w:rPr>
        <w:t xml:space="preserve">Quality of Applicants:</w:t>
      </w:r>
      <w:r>
        <w:t xml:space="preserve"> </w:t>
      </w:r>
      <w:r>
        <w:t xml:space="preserve">Target 40% increase in candidates meeting the University Lecturer role competency framework (vs. baseline).</w:t>
      </w:r>
    </w:p>
    <w:p>
      <w:pPr>
        <w:numPr>
          <w:ilvl w:val="0"/>
          <w:numId w:val="1007"/>
        </w:numPr>
        <w:pStyle w:val="Compact"/>
      </w:pPr>
      <w:r>
        <w:rPr>
          <w:bCs/>
          <w:b/>
        </w:rPr>
        <w:t xml:space="preserve">Time-to-Hire Reduction:</w:t>
      </w:r>
      <w:r>
        <w:t xml:space="preserve"> </w:t>
      </w:r>
      <w:r>
        <w:t xml:space="preserve">Achieve 25% faster recruitment cycles through optimized digital channels.</w:t>
      </w:r>
    </w:p>
    <w:p>
      <w:pPr>
        <w:numPr>
          <w:ilvl w:val="0"/>
          <w:numId w:val="1007"/>
        </w:numPr>
        <w:pStyle w:val="Compact"/>
      </w:pPr>
      <w:r>
        <w:rPr>
          <w:bCs/>
          <w:b/>
        </w:rPr>
        <w:t xml:space="preserve">Cultural Fit Rate:</w:t>
      </w:r>
      <w:r>
        <w:t xml:space="preserve"> </w:t>
      </w:r>
      <w:r>
        <w:t xml:space="preserve">Maintain &gt;85% retention of hired University Lecturers after 12 months (vs. 70% industry average).</w:t>
      </w:r>
    </w:p>
    <w:p>
      <w:pPr>
        <w:numPr>
          <w:ilvl w:val="0"/>
          <w:numId w:val="1007"/>
        </w:numPr>
        <w:pStyle w:val="Compact"/>
      </w:pPr>
      <w:r>
        <w:rPr>
          <w:bCs/>
          <w:b/>
        </w:rPr>
        <w:t xml:space="preserve">ROI Calculation:</w:t>
      </w:r>
      <w:r>
        <w:t xml:space="preserve"> </w:t>
      </w:r>
      <w:r>
        <w:t xml:space="preserve">Achieve A$3.50 return for every $1 spent via reduced recruitment costs and increased research output from new hires.</w:t>
      </w:r>
    </w:p>
    <w:bookmarkEnd w:id="29"/>
    <w:bookmarkStart w:id="30" w:name="X6a521084ab44bea23f56b80fbefb4bff4808539"/>
    <w:p>
      <w:pPr>
        <w:pStyle w:val="Heading2"/>
      </w:pPr>
      <w:r>
        <w:t xml:space="preserve">Conclusion: Building Melbourne's Academic Future</w:t>
      </w:r>
    </w:p>
    <w:p>
      <w:pPr>
        <w:pStyle w:val="FirstParagraph"/>
      </w:pPr>
      <w:r>
        <w:t xml:space="preserve">This Marketing Plan positions Australia Melbourne as the destination where University Lecturers don't just find jobs – they build transformative careers within a globally recognized academic community. By emphasizing our unique combination of world-class research infrastructure, exceptional quality of life, and career acceleration pathways, we create irresistible value for top talent. The plan's data-driven approach ensures every dollar spent directly contributes to closing Melbourne's lecturer gap while advancing Australia's standing as an education leader. As one current University Lecturer at the University of Melbourne recently stated: "The Marketing Plan didn't just sell me a job – it sold me a life." This is the standard we will uphold in attracting the next generation of academic pioneers to Australia Melbourne.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University Lecturers in Australia Melbourne</dc:title>
  <dc:creator/>
  <dc:language>en</dc:language>
  <cp:keywords/>
  <dcterms:created xsi:type="dcterms:W3CDTF">2025-12-13T06:15:30Z</dcterms:created>
  <dcterms:modified xsi:type="dcterms:W3CDTF">2025-12-13T06:15:30Z</dcterms:modified>
</cp:coreProperties>
</file>

<file path=docProps/custom.xml><?xml version="1.0" encoding="utf-8"?>
<Properties xmlns="http://schemas.openxmlformats.org/officeDocument/2006/custom-properties" xmlns:vt="http://schemas.openxmlformats.org/officeDocument/2006/docPropsVTypes"/>
</file>