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31" w:name="X9fd4adfd779e14766cdaab0b00bb51678413486"/>
    <w:p>
      <w:pPr>
        <w:pStyle w:val="Heading1"/>
      </w:pPr>
      <w:r>
        <w:t xml:space="preserve">Strategic Marketing Plan for Attracting and Retaining Top-Tier University Lecturers in Egypt Alexandria</w:t>
      </w:r>
    </w:p>
    <w:bookmarkStart w:id="20" w:name="executive-summary"/>
    <w:p>
      <w:pPr>
        <w:pStyle w:val="Heading2"/>
      </w:pPr>
      <w:r>
        <w:t xml:space="preserve">Executive Summary</w:t>
      </w:r>
    </w:p>
    <w:p>
      <w:pPr>
        <w:pStyle w:val="FirstParagraph"/>
      </w:pPr>
      <w:r>
        <w:t xml:space="preserve">This comprehensive Marketing Plan addresses the critical need to recruit and retain exceptional University Lecturers across Alexandria's higher education sector. Aligned with Egypt's Vision 2030 for education excellence, this plan leverages Alexandria’s unique cultural, academic, and geographic advantages to position local universities as premier destinations for academic talent. The strategy targets global and national candidates seeking meaningful careers in Egypt's second-largest city—a dynamic hub of Mediterranean scholarship with rich historical significance.</w:t>
      </w:r>
    </w:p>
    <w:bookmarkEnd w:id="20"/>
    <w:bookmarkStart w:id="21" w:name="X712c493ef15a52944887bc5d0567b289d9519de"/>
    <w:p>
      <w:pPr>
        <w:pStyle w:val="Heading2"/>
      </w:pPr>
      <w:r>
        <w:t xml:space="preserve">Market Analysis: Alexandria's Academic Landscape</w:t>
      </w:r>
    </w:p>
    <w:p>
      <w:pPr>
        <w:pStyle w:val="FirstParagraph"/>
      </w:pPr>
      <w:r>
        <w:t xml:space="preserve">Egypt Alexandria offers unparalleled opportunities for University Lecturers. As a coastal city with 15+ public and private universities (including Alexandria University, the nation’s second-largest institution), it serves as a crossroads of Mediterranean academia. However, persistent challenges include:</w:t>
      </w:r>
    </w:p>
    <w:p>
      <w:pPr>
        <w:numPr>
          <w:ilvl w:val="0"/>
          <w:numId w:val="1001"/>
        </w:numPr>
        <w:pStyle w:val="Compact"/>
      </w:pPr>
      <w:r>
        <w:t xml:space="preserve">High competition from Cairo-based institutions</w:t>
      </w:r>
    </w:p>
    <w:p>
      <w:pPr>
        <w:numPr>
          <w:ilvl w:val="0"/>
          <w:numId w:val="1001"/>
        </w:numPr>
        <w:pStyle w:val="Compact"/>
      </w:pPr>
      <w:r>
        <w:t xml:space="preserve">Perceived lower salaries compared to international opportunities</w:t>
      </w:r>
    </w:p>
    <w:p>
      <w:pPr>
        <w:numPr>
          <w:ilvl w:val="0"/>
          <w:numId w:val="1001"/>
        </w:numPr>
        <w:pStyle w:val="Compact"/>
      </w:pPr>
      <w:r>
        <w:t xml:space="preserve">Need for enhanced research infrastructure in STEM fields</w:t>
      </w:r>
    </w:p>
    <w:p>
      <w:pPr>
        <w:numPr>
          <w:ilvl w:val="0"/>
          <w:numId w:val="1001"/>
        </w:numPr>
        <w:pStyle w:val="Compact"/>
      </w:pPr>
      <w:r>
        <w:t xml:space="preserve">Cultural integration support for international candidates</w:t>
      </w:r>
    </w:p>
    <w:p>
      <w:pPr>
        <w:pStyle w:val="FirstParagraph"/>
      </w:pPr>
      <w:r>
        <w:t xml:space="preserve">Despite these, Alexandria’s advantages are decisive: its historic significance (home to the ancient Library of Alexandria), strategic Mediterranean location, lower cost of living than Cairo, and vibrant cultural scene create a compelling value proposition for University Lecturers seeking a balanced professional and personal life.</w:t>
      </w:r>
    </w:p>
    <w:bookmarkEnd w:id="21"/>
    <w:bookmarkStart w:id="22" w:name="X32aed268327ae79c958902c87f3152387973880"/>
    <w:p>
      <w:pPr>
        <w:pStyle w:val="Heading2"/>
      </w:pPr>
      <w:r>
        <w:t xml:space="preserve">Target Audience: Ideal University Lecturer Profile</w:t>
      </w:r>
    </w:p>
    <w:p>
      <w:pPr>
        <w:pStyle w:val="FirstParagraph"/>
      </w:pPr>
      <w:r>
        <w:t xml:space="preserve">This plan focuses on two primary segments:</w:t>
      </w:r>
    </w:p>
    <w:p>
      <w:pPr>
        <w:numPr>
          <w:ilvl w:val="0"/>
          <w:numId w:val="1002"/>
        </w:numPr>
        <w:pStyle w:val="Compact"/>
      </w:pPr>
      <w:r>
        <w:rPr>
          <w:bCs/>
          <w:b/>
        </w:rPr>
        <w:t xml:space="preserve">Local Egyptian Talent:</w:t>
      </w:r>
      <w:r>
        <w:t xml:space="preserve"> </w:t>
      </w:r>
      <w:r>
        <w:t xml:space="preserve">PhD-holding academics from Egyptian universities (e.g., Cairo, Mansoura) seeking regional career advancement opportunities in Alexandria. They prioritize institutional stability, community connection, and cultural familiarity.</w:t>
      </w:r>
    </w:p>
    <w:p>
      <w:pPr>
        <w:numPr>
          <w:ilvl w:val="0"/>
          <w:numId w:val="1002"/>
        </w:numPr>
        <w:pStyle w:val="Compact"/>
      </w:pPr>
      <w:r>
        <w:rPr>
          <w:bCs/>
          <w:b/>
        </w:rPr>
        <w:t xml:space="preserve">International Candidates:</w:t>
      </w:r>
      <w:r>
        <w:t xml:space="preserve"> </w:t>
      </w:r>
      <w:r>
        <w:t xml:space="preserve">Arabic-speaking scholars from Arab Gulf states and North Africa seeking Mediterranean academic environments. They value Alexandria’s cosmopolitan atmosphere and proximity to Europe for research collaborations.</w:t>
      </w:r>
    </w:p>
    <w:p>
      <w:pPr>
        <w:pStyle w:val="FirstParagraph"/>
      </w:pPr>
      <w:r>
        <w:t xml:space="preserve">Both segments prioritize: competitive compensation packages, research support, professional development pathways, and integration into Alexandria’s cultural fabric.</w:t>
      </w:r>
    </w:p>
    <w:bookmarkEnd w:id="22"/>
    <w:bookmarkStart w:id="23" w:name="marketing-objectives-12-month-horizon"/>
    <w:p>
      <w:pPr>
        <w:pStyle w:val="Heading2"/>
      </w:pPr>
      <w:r>
        <w:t xml:space="preserve">Marketing Objectives (12-Month Horizon)</w:t>
      </w:r>
    </w:p>
    <w:p>
      <w:pPr>
        <w:pStyle w:val="FirstParagraph"/>
      </w:pPr>
      <w:r>
        <w:t xml:space="preserve">Specific, measurable goals aligned with Egypt Alexandria's educational priorities:</w:t>
      </w:r>
    </w:p>
    <w:p>
      <w:pPr>
        <w:numPr>
          <w:ilvl w:val="0"/>
          <w:numId w:val="1003"/>
        </w:numPr>
        <w:pStyle w:val="Compact"/>
      </w:pPr>
      <w:r>
        <w:t xml:space="preserve">Reduce lecturer vacancy rates by 40% across targeted departments (STEM, Humanities) by Q3 2025</w:t>
      </w:r>
    </w:p>
    <w:p>
      <w:pPr>
        <w:numPr>
          <w:ilvl w:val="0"/>
          <w:numId w:val="1003"/>
        </w:numPr>
        <w:pStyle w:val="Compact"/>
      </w:pPr>
      <w:r>
        <w:t xml:space="preserve">Attract 15+ international University Lecturers from GCC and Maghreb nations</w:t>
      </w:r>
    </w:p>
    <w:p>
      <w:pPr>
        <w:numPr>
          <w:ilvl w:val="0"/>
          <w:numId w:val="1003"/>
        </w:numPr>
        <w:pStyle w:val="Compact"/>
      </w:pPr>
      <w:r>
        <w:t xml:space="preserve">Achieve a candidate satisfaction score of 90%+ on the recruitment journey (measured via post-hire surveys)</w:t>
      </w:r>
    </w:p>
    <w:p>
      <w:pPr>
        <w:numPr>
          <w:ilvl w:val="0"/>
          <w:numId w:val="1003"/>
        </w:numPr>
        <w:pStyle w:val="Compact"/>
      </w:pPr>
      <w:r>
        <w:t xml:space="preserve">Position Alexandria as "Top Emerging Academic Destination in Egypt" in national education rankings</w:t>
      </w:r>
    </w:p>
    <w:bookmarkEnd w:id="23"/>
    <w:bookmarkStart w:id="28" w:name="X1215ffa2308c1827c2322a833cabda7b47141e9"/>
    <w:p>
      <w:pPr>
        <w:pStyle w:val="Heading2"/>
      </w:pPr>
      <w:r>
        <w:t xml:space="preserve">Core Marketing Strategies for Egypt Alexandria</w:t>
      </w:r>
    </w:p>
    <w:bookmarkStart w:id="24" w:name="hyper-localized-employer-branding"/>
    <w:p>
      <w:pPr>
        <w:pStyle w:val="Heading3"/>
      </w:pPr>
      <w:r>
        <w:t xml:space="preserve">1. Hyper-Localized Employer Branding</w:t>
      </w:r>
    </w:p>
    <w:p>
      <w:pPr>
        <w:pStyle w:val="FirstParagraph"/>
      </w:pPr>
      <w:r>
        <w:t xml:space="preserve">We will reframe the University Lecturer role within Alexandria’s identity:</w:t>
      </w:r>
    </w:p>
    <w:p>
      <w:pPr>
        <w:numPr>
          <w:ilvl w:val="0"/>
          <w:numId w:val="1004"/>
        </w:numPr>
        <w:pStyle w:val="Compact"/>
      </w:pPr>
      <w:r>
        <w:t xml:space="preserve">Create "Alexandria Academic Life" digital campaign showcasing lecturer experiences at Montazah Gardens, Qaitbay Citadel, and local cultural events</w:t>
      </w:r>
    </w:p>
    <w:p>
      <w:pPr>
        <w:numPr>
          <w:ilvl w:val="0"/>
          <w:numId w:val="1004"/>
        </w:numPr>
        <w:pStyle w:val="Compact"/>
      </w:pPr>
      <w:r>
        <w:t xml:space="preserve">Develop video testimonials from current lecturers discussing how Egypt Alexandria enriches their research (e.g., Mediterranean marine biology studies from Sidi Gaber campus)</w:t>
      </w:r>
    </w:p>
    <w:p>
      <w:pPr>
        <w:numPr>
          <w:ilvl w:val="0"/>
          <w:numId w:val="1004"/>
        </w:numPr>
        <w:pStyle w:val="Compact"/>
      </w:pPr>
      <w:r>
        <w:t xml:space="preserve">Partner with Alexandria Tourism Authority for "Academic Visa Support" packages including cultural immersion tours</w:t>
      </w:r>
    </w:p>
    <w:bookmarkEnd w:id="24"/>
    <w:bookmarkStart w:id="25" w:name="X25626dc7f44da460621802dcf421e0898dac736"/>
    <w:p>
      <w:pPr>
        <w:pStyle w:val="Heading3"/>
      </w:pPr>
      <w:r>
        <w:t xml:space="preserve">2. Competitive Compensation &amp; Incentive Structure</w:t>
      </w:r>
    </w:p>
    <w:p>
      <w:pPr>
        <w:pStyle w:val="FirstParagraph"/>
      </w:pPr>
      <w:r>
        <w:t xml:space="preserve">Addressing salary concerns through Alexandria-specific value:</w:t>
      </w:r>
    </w:p>
    <w:p>
      <w:pPr>
        <w:numPr>
          <w:ilvl w:val="0"/>
          <w:numId w:val="1005"/>
        </w:numPr>
        <w:pStyle w:val="Compact"/>
      </w:pPr>
      <w:r>
        <w:t xml:space="preserve">Offer "Mediterranean Living Allowance": 15% housing subsidy for beachfront neighborhoods (e.g., El-Max, Sidi Gaber)</w:t>
      </w:r>
    </w:p>
    <w:p>
      <w:pPr>
        <w:numPr>
          <w:ilvl w:val="0"/>
          <w:numId w:val="1005"/>
        </w:numPr>
        <w:pStyle w:val="Compact"/>
      </w:pPr>
      <w:r>
        <w:t xml:space="preserve">Establish Research Accelerator Grants: Annual funding of EGP 200,000 for lecturers launching projects in Alexandria-relevant fields (e.g., coastal urban planning, Arab heritage studies)</w:t>
      </w:r>
    </w:p>
    <w:p>
      <w:pPr>
        <w:numPr>
          <w:ilvl w:val="0"/>
          <w:numId w:val="1005"/>
        </w:numPr>
        <w:pStyle w:val="Compact"/>
      </w:pPr>
      <w:r>
        <w:t xml:space="preserve">Create "Alexandria Knowledge Exchange" program with regional universities (Tunisia, Lebanon) for joint publications</w:t>
      </w:r>
    </w:p>
    <w:bookmarkEnd w:id="25"/>
    <w:bookmarkStart w:id="26" w:name="digital-recruitment-ecosystem"/>
    <w:p>
      <w:pPr>
        <w:pStyle w:val="Heading3"/>
      </w:pPr>
      <w:r>
        <w:t xml:space="preserve">3. Digital Recruitment Ecosystem</w:t>
      </w:r>
    </w:p>
    <w:p>
      <w:pPr>
        <w:pStyle w:val="FirstParagraph"/>
      </w:pPr>
      <w:r>
        <w:t xml:space="preserve">Platform-specific engagement in Egypt Alexandria:</w:t>
      </w:r>
    </w:p>
    <w:p>
      <w:pPr>
        <w:numPr>
          <w:ilvl w:val="0"/>
          <w:numId w:val="1006"/>
        </w:numPr>
        <w:pStyle w:val="Compact"/>
      </w:pPr>
      <w:r>
        <w:t xml:space="preserve">Geo-targeted LinkedIn campaigns highlighting "University Lecturer" roles with Alexandria location tags</w:t>
      </w:r>
    </w:p>
    <w:p>
      <w:pPr>
        <w:numPr>
          <w:ilvl w:val="0"/>
          <w:numId w:val="1006"/>
        </w:numPr>
        <w:pStyle w:val="Compact"/>
      </w:pPr>
      <w:r>
        <w:t xml:space="preserve">Collaborate with Egyptian academic portals (e.g., Al-Ahram University Network) for dedicated job boards</w:t>
      </w:r>
    </w:p>
    <w:p>
      <w:pPr>
        <w:numPr>
          <w:ilvl w:val="0"/>
          <w:numId w:val="1006"/>
        </w:numPr>
        <w:pStyle w:val="Compact"/>
      </w:pPr>
      <w:r>
        <w:t xml:space="preserve">Develop Arabic/English microsites: "AlexandriaLecturers.com" featuring virtual campus tours of new facilities in El-Max district</w:t>
      </w:r>
    </w:p>
    <w:bookmarkEnd w:id="26"/>
    <w:bookmarkStart w:id="27" w:name="community-integration-initiatives"/>
    <w:p>
      <w:pPr>
        <w:pStyle w:val="Heading3"/>
      </w:pPr>
      <w:r>
        <w:t xml:space="preserve">4. Community Integration Initiatives</w:t>
      </w:r>
    </w:p>
    <w:p>
      <w:pPr>
        <w:pStyle w:val="FirstParagraph"/>
      </w:pPr>
      <w:r>
        <w:t xml:space="preserve">Moving beyond recruitment to retention:</w:t>
      </w:r>
    </w:p>
    <w:p>
      <w:pPr>
        <w:numPr>
          <w:ilvl w:val="0"/>
          <w:numId w:val="1007"/>
        </w:numPr>
        <w:pStyle w:val="Compact"/>
      </w:pPr>
      <w:r>
        <w:t xml:space="preserve">Host quarterly "Alexandria Academic Summits" at Bibliotheca Alexandrina for lecturers to network with local industry (e.g., MedCure Pharmaceuticals, tourism sector)</w:t>
      </w:r>
    </w:p>
    <w:p>
      <w:pPr>
        <w:numPr>
          <w:ilvl w:val="0"/>
          <w:numId w:val="1007"/>
        </w:numPr>
        <w:pStyle w:val="Compact"/>
      </w:pPr>
      <w:r>
        <w:t xml:space="preserve">Provide Arabic language training for international lecturers at Alexandria University’s Language Center</w:t>
      </w:r>
    </w:p>
    <w:p>
      <w:pPr>
        <w:numPr>
          <w:ilvl w:val="0"/>
          <w:numId w:val="1007"/>
        </w:numPr>
        <w:pStyle w:val="Compact"/>
      </w:pPr>
      <w:r>
        <w:t xml:space="preserve">Curate "Local Culture Orientation Kits" including Ramadan meal guides and public transport passes</w:t>
      </w:r>
    </w:p>
    <w:bookmarkEnd w:id="27"/>
    <w:bookmarkEnd w:id="28"/>
    <w:bookmarkStart w:id="29" w:name="budget-allocation-key-metrics"/>
    <w:p>
      <w:pPr>
        <w:pStyle w:val="Heading2"/>
      </w:pPr>
      <w:r>
        <w:t xml:space="preserve">Budget Allocation &amp; Key Metrics</w:t>
      </w:r>
    </w:p>
    <w:p>
      <w:pPr>
        <w:pStyle w:val="FirstParagraph"/>
      </w:pPr>
      <w:r>
        <w:t xml:space="preserve">The Marketing Plan allocates EGP 1.8 million across 12 months:</w:t>
      </w:r>
    </w:p>
    <w:p>
      <w:pPr>
        <w:pStyle w:val="BodyText"/>
      </w:pPr>
      <w:r>
        <w:t xml:space="preserve">Strategy</w:t>
      </w:r>
    </w:p>
    <w:p>
      <w:pPr>
        <w:pStyle w:val="BodyText"/>
      </w:pPr>
      <w:r>
        <w:t xml:space="preserve">Allocation (EGP)</w:t>
      </w:r>
    </w:p>
    <w:p>
      <w:pPr>
        <w:pStyle w:val="BodyText"/>
      </w:pPr>
      <w:r>
        <w:t xml:space="preserve">KPI</w:t>
      </w:r>
    </w:p>
    <w:p>
      <w:pPr>
        <w:pStyle w:val="BodyText"/>
      </w:pPr>
      <w:r>
        <w:t xml:space="preserve">Employer Branding Campaigns</w:t>
      </w:r>
    </w:p>
    <w:p>
      <w:pPr>
        <w:pStyle w:val="BodyText"/>
      </w:pPr>
      <w:r>
        <w:t xml:space="preserve">600,000</w:t>
      </w:r>
    </w:p>
    <w:p>
      <w:pPr>
        <w:pStyle w:val="BodyText"/>
      </w:pPr>
      <w:r>
        <w:t xml:space="preserve">Candidate inquiries from target segments +35%</w:t>
      </w:r>
    </w:p>
    <w:p>
      <w:pPr>
        <w:pStyle w:val="BodyText"/>
      </w:pPr>
      <w:r>
        <w:t xml:space="preserve">Digital Recruitment Platforms</w:t>
      </w:r>
    </w:p>
    <w:p>
      <w:pPr>
        <w:pStyle w:val="BodyText"/>
      </w:pPr>
      <w:r>
        <w:t xml:space="preserve">450,000</w:t>
      </w:r>
    </w:p>
    <w:p>
      <w:pPr>
        <w:pStyle w:val="BodyText"/>
      </w:pPr>
      <w:r>
        <w:t xml:space="preserve">&lt; td&gt;Application rate increase by 25%</w:t>
      </w:r>
    </w:p>
    <w:p>
      <w:pPr>
        <w:pStyle w:val="BodyText"/>
      </w:pPr>
      <w:r>
        <w:t xml:space="preserve">International Candidate Support</w:t>
      </w:r>
    </w:p>
    <w:p>
      <w:pPr>
        <w:pStyle w:val="BodyText"/>
      </w:pPr>
      <w:r>
        <w:t xml:space="preserve">400,000</w:t>
      </w:r>
    </w:p>
    <w:p>
      <w:pPr>
        <w:pStyle w:val="BodyText"/>
      </w:pPr>
      <w:r>
        <w:t xml:space="preserve">Community Integration Programs</w:t>
      </w:r>
    </w:p>
    <w:p>
      <w:pPr>
        <w:pStyle w:val="BodyText"/>
      </w:pPr>
      <w:r>
        <w:t xml:space="preserve">d15.6% higher retention at 12 months (vs. baseline)</w:t>
      </w:r>
    </w:p>
    <w:bookmarkEnd w:id="29"/>
    <w:bookmarkStart w:id="30" w:name="X96ac1c2f9286425b3cf805a7e35ac71431f9faf"/>
    <w:p>
      <w:pPr>
        <w:pStyle w:val="Heading2"/>
      </w:pPr>
      <w:r>
        <w:t xml:space="preserve">Conclusion: Alexandria as the Academic Heartbeat of Egypt</w:t>
      </w:r>
    </w:p>
    <w:p>
      <w:pPr>
        <w:pStyle w:val="FirstParagraph"/>
      </w:pPr>
      <w:r>
        <w:t xml:space="preserve">This Marketing Plan transforms how University Lecturers perceive Egypt Alexandria—not as a secondary academic market, but as the dynamic epicenter of Mediterranean scholarship within Egypt. By embedding our recruitment strategy within Alexandria’s cultural identity (from its ancient libraries to modern coastal innovation), we create an irresistible value proposition for academics seeking impact. The plan directly supports Egypt’s national education goals while leveraging Alexandria’s unique assets to build a world-class academic community where University Lecturers thrive personally and professionally, ensuring the city remains at the forefront of Egypt's educational renaissance.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Egypt Alexandria</dc:title>
  <dc:creator/>
  <dc:language>en</dc:language>
  <cp:keywords/>
  <dcterms:created xsi:type="dcterms:W3CDTF">2026-07-24T13:56:47Z</dcterms:created>
  <dcterms:modified xsi:type="dcterms:W3CDTF">2026-07-24T13:56:47Z</dcterms:modified>
</cp:coreProperties>
</file>

<file path=docProps/custom.xml><?xml version="1.0" encoding="utf-8"?>
<Properties xmlns="http://schemas.openxmlformats.org/officeDocument/2006/custom-properties" xmlns:vt="http://schemas.openxmlformats.org/officeDocument/2006/docPropsVTypes"/>
</file>