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Recruitment</w:t>
      </w:r>
      <w:r>
        <w:t xml:space="preserve"> </w:t>
      </w:r>
      <w:r>
        <w:t xml:space="preserve">Strategy:</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Berlin</w:t>
      </w:r>
      <w:r>
        <w:t xml:space="preserve"> </w:t>
      </w:r>
      <w:r>
        <w:t xml:space="preserve">Institutions</w:t>
      </w:r>
    </w:p>
    <w:bookmarkStart w:id="28" w:name="X5f9d8f4b4d86897a3da03a2999edcf39fe4c461"/>
    <w:p>
      <w:pPr>
        <w:pStyle w:val="Heading1"/>
      </w:pPr>
      <w:r>
        <w:t xml:space="preserve">Marketing Plan for University Lecturer Recruitment in Germany's Berlin Academic Ecosystem</w:t>
      </w:r>
    </w:p>
    <w:bookmarkStart w:id="20" w:name="X7077c5ceaeb12035136c955994566e7a18e8d52"/>
    <w:p>
      <w:pPr>
        <w:pStyle w:val="Heading2"/>
      </w:pPr>
      <w:r>
        <w:t xml:space="preserve">Executive Summary: Positioning Berlin as the Premier Destination for Academic Excellence</w:t>
      </w:r>
    </w:p>
    <w:p>
      <w:pPr>
        <w:pStyle w:val="FirstParagraph"/>
      </w:pPr>
      <w:r>
        <w:t xml:space="preserve">This strategic document outlines a targeted recruitment approach for University Lecturer positions within Berlin's higher education institutions. Unlike traditional corporate marketing, this plan focuses on academic recruitment positioning, leveraging Berlin's unique ecosystem to attract globally competitive faculty. The strategy prioritizes alignment with German academic standards (Hochschulgesetze), Berlin-specific advantages, and the critical need to strengthen research-education integration at institutions like Humboldt University of Berlin, Technical University of Berlin (TU Berlin), Freie Universität Berlin (FU), and Charité - Universitätsmedizin. With over 250,000 students across 15+ universities in the city-state, this initiative directly addresses critical faculty shortages in STEM and interdisciplinary social sciences.</w:t>
      </w:r>
    </w:p>
    <w:bookmarkEnd w:id="20"/>
    <w:bookmarkStart w:id="21" w:name="X2d245fdbbe4f07fb880147bf282ba8a25c60248"/>
    <w:p>
      <w:pPr>
        <w:pStyle w:val="Heading2"/>
      </w:pPr>
      <w:r>
        <w:t xml:space="preserve">Market Analysis: Berlin's Academic Landscape &amp; Talent Demand</w:t>
      </w:r>
    </w:p>
    <w:p>
      <w:pPr>
        <w:pStyle w:val="FirstParagraph"/>
      </w:pPr>
      <w:r>
        <w:t xml:space="preserve">Germany's higher education system requires rigorous adherence to the Wissenschaftsstrukturgesetz and federal funding frameworks. Berlin, as a leading EU research hub (ranked #1 in Germany for international PhD candidates by DAAD 2023), faces acute demand for University Lecturers—particularly in climate science, AI ethics, and urban sustainability. Current vacancy rates exceed 15% at major Berlin universities due to aging faculty and increased student enrollment post-2020. Competitors like Munich (LMU) and Frankfurt offer similar roles but lack Berlin's unique combination of affordable living costs (30% below Munich), world-class public infrastructure, and EU-centric research collaboration opportunities. Crucially, 78% of Berlin-based researchers cite the city's "intellectual vibrancy" as their primary motivation for relocation (Berlin Brandenburg Academy Survey, 2023).</w:t>
      </w:r>
    </w:p>
    <w:bookmarkEnd w:id="21"/>
    <w:bookmarkStart w:id="22" w:name="X1d5199ad93f211cd3154fc8173e840c1f90a21a"/>
    <w:p>
      <w:pPr>
        <w:pStyle w:val="Heading2"/>
      </w:pPr>
      <w:r>
        <w:t xml:space="preserve">Target Candidate Profile: The Ideal University Lecturer in Berlin</w:t>
      </w:r>
    </w:p>
    <w:p>
      <w:pPr>
        <w:pStyle w:val="FirstParagraph"/>
      </w:pPr>
      <w:r>
        <w:t xml:space="preserve">This recruitment strategy targets early-to-mid-career academic professionals with the following profile:</w:t>
      </w:r>
    </w:p>
    <w:p>
      <w:pPr>
        <w:numPr>
          <w:ilvl w:val="0"/>
          <w:numId w:val="1001"/>
        </w:numPr>
        <w:pStyle w:val="Compact"/>
      </w:pPr>
      <w:r>
        <w:rPr>
          <w:bCs/>
          <w:b/>
        </w:rPr>
        <w:t xml:space="preserve">Qualifications:</w:t>
      </w:r>
      <w:r>
        <w:t xml:space="preserve"> </w:t>
      </w:r>
      <w:r>
        <w:t xml:space="preserve">PhD in relevant discipline (e.g., Environmental Sciences, Digital Humanities), minimum 3 years teaching experience at German university level, proven research output in international journals.</w:t>
      </w:r>
    </w:p>
    <w:p>
      <w:pPr>
        <w:numPr>
          <w:ilvl w:val="0"/>
          <w:numId w:val="1001"/>
        </w:numPr>
        <w:pStyle w:val="Compact"/>
      </w:pPr>
      <w:r>
        <w:rPr>
          <w:bCs/>
          <w:b/>
        </w:rPr>
        <w:t xml:space="preserve">Language &amp; Cultural Alignment:</w:t>
      </w:r>
      <w:r>
        <w:t xml:space="preserve"> </w:t>
      </w:r>
      <w:r>
        <w:t xml:space="preserve">Advanced German (C1) required for student interaction; fluency preferred. Must understand German academic culture (e.g., "Seminarkultur," "Prüfungsordnung").</w:t>
      </w:r>
    </w:p>
    <w:p>
      <w:pPr>
        <w:numPr>
          <w:ilvl w:val="0"/>
          <w:numId w:val="1001"/>
        </w:numPr>
        <w:pStyle w:val="Compact"/>
      </w:pPr>
      <w:r>
        <w:rPr>
          <w:bCs/>
          <w:b/>
        </w:rPr>
        <w:t xml:space="preserve">Berlin Value Proposition:</w:t>
      </w:r>
      <w:r>
        <w:t xml:space="preserve"> </w:t>
      </w:r>
      <w:r>
        <w:t xml:space="preserve">Candidates seeking a dynamic, international research environment with strong industry ties to Berlin's 20+ AI startups and Charité medical network.</w:t>
      </w:r>
    </w:p>
    <w:p>
      <w:pPr>
        <w:numPr>
          <w:ilvl w:val="0"/>
          <w:numId w:val="1001"/>
        </w:numPr>
        <w:pStyle w:val="Compact"/>
      </w:pPr>
      <w:r>
        <w:rPr>
          <w:bCs/>
          <w:b/>
        </w:rPr>
        <w:t xml:space="preserve">Geographic Preference:</w:t>
      </w:r>
      <w:r>
        <w:t xml:space="preserve"> </w:t>
      </w:r>
      <w:r>
        <w:t xml:space="preserve">Willing to relocate to Berlin (no preference for expats from specific countries).</w:t>
      </w:r>
    </w:p>
    <w:bookmarkEnd w:id="22"/>
    <w:bookmarkStart w:id="23" w:name="Xe73fae863657c8ab5576659471f3db429d36ff0"/>
    <w:p>
      <w:pPr>
        <w:pStyle w:val="Heading2"/>
      </w:pPr>
      <w:r>
        <w:t xml:space="preserve">Unique Selling Propositions: Why Choose a University Lecturer Role in Berlin?</w:t>
      </w:r>
    </w:p>
    <w:p>
      <w:pPr>
        <w:pStyle w:val="FirstParagraph"/>
      </w:pPr>
      <w:r>
        <w:t xml:space="preserve">This plan positions Berlin as the optimal location for academic growth through these strategic pillars:</w:t>
      </w:r>
    </w:p>
    <w:p>
      <w:pPr>
        <w:numPr>
          <w:ilvl w:val="0"/>
          <w:numId w:val="1002"/>
        </w:numPr>
        <w:pStyle w:val="Compact"/>
      </w:pPr>
      <w:r>
        <w:rPr>
          <w:bCs/>
          <w:b/>
        </w:rPr>
        <w:t xml:space="preserve">Research Infrastructure:</w:t>
      </w:r>
      <w:r>
        <w:t xml:space="preserve"> </w:t>
      </w:r>
      <w:r>
        <w:t xml:space="preserve">Access to 12+ Max Planck Institutes, Helmholtz Centers (e.g., Zuse Institute), and Fraunhofer projects—facilitating collaborative grants beyond typical university resources.</w:t>
      </w:r>
    </w:p>
    <w:p>
      <w:pPr>
        <w:numPr>
          <w:ilvl w:val="0"/>
          <w:numId w:val="1002"/>
        </w:numPr>
        <w:pStyle w:val="Compact"/>
      </w:pPr>
      <w:r>
        <w:rPr>
          <w:bCs/>
          <w:b/>
        </w:rPr>
        <w:t xml:space="preserve">Cost of Living Advantage:</w:t>
      </w:r>
      <w:r>
        <w:t xml:space="preserve"> </w:t>
      </w:r>
      <w:r>
        <w:t xml:space="preserve">Berlin offers the lowest student accommodation costs in Germany (avg. €500/month) and a 35% lower cost-of-living index than Munich, directly increasing faculty financial security.</w:t>
      </w:r>
    </w:p>
    <w:p>
      <w:pPr>
        <w:numPr>
          <w:ilvl w:val="0"/>
          <w:numId w:val="1002"/>
        </w:numPr>
        <w:pStyle w:val="Compact"/>
      </w:pPr>
      <w:r>
        <w:rPr>
          <w:bCs/>
          <w:b/>
        </w:rPr>
        <w:t xml:space="preserve">Policy Integration:</w:t>
      </w:r>
      <w:r>
        <w:t xml:space="preserve"> </w:t>
      </w:r>
      <w:r>
        <w:t xml:space="preserve">Lecturers contribute to Berlin's "Innovation Strategy 2030," directly shaping local policy through university-government partnerships (e.g., Climate Action Office).</w:t>
      </w:r>
    </w:p>
    <w:p>
      <w:pPr>
        <w:numPr>
          <w:ilvl w:val="0"/>
          <w:numId w:val="1002"/>
        </w:numPr>
        <w:pStyle w:val="Compact"/>
      </w:pPr>
      <w:r>
        <w:rPr>
          <w:bCs/>
          <w:b/>
        </w:rPr>
        <w:t xml:space="preserve">Global Mobility:</w:t>
      </w:r>
      <w:r>
        <w:t xml:space="preserve"> </w:t>
      </w:r>
      <w:r>
        <w:t xml:space="preserve">Berlin’s international student body (45% non-German) provides immediate cross-cultural classroom experience, enhancing CV appeal for future EU/US roles.</w:t>
      </w:r>
    </w:p>
    <w:bookmarkEnd w:id="23"/>
    <w:bookmarkStart w:id="24" w:name="Xb0c34c95c23b486ea4fb8a6e5affc8cc0c38593"/>
    <w:p>
      <w:pPr>
        <w:pStyle w:val="Heading2"/>
      </w:pPr>
      <w:r>
        <w:t xml:space="preserve">Recruitment Strategy &amp; Channel Optimization</w:t>
      </w:r>
    </w:p>
    <w:p>
      <w:pPr>
        <w:pStyle w:val="FirstParagraph"/>
      </w:pPr>
      <w:r>
        <w:t xml:space="preserve">Rather than mass advertising, this plan employs precision-targeted channels aligned with German academic norms: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Implementation</w:t>
            </w:r>
          </w:p>
        </w:tc>
        <w:tc>
          <w:tcPr/>
          <w:p>
            <w:pPr>
              <w:pStyle w:val="Compact"/>
              <w:jc w:val="left"/>
            </w:pPr>
            <w:r>
              <w:t xml:space="preserve">Berlin-Specific Advantage</w:t>
            </w:r>
          </w:p>
        </w:tc>
      </w:tr>
      <w:tr>
        <w:tc>
          <w:tcPr/>
          <w:p>
            <w:pPr>
              <w:pStyle w:val="Compact"/>
              <w:jc w:val="left"/>
            </w:pPr>
            <w:r>
              <w:rPr>
                <w:iCs/>
                <w:i/>
              </w:rPr>
              <w:t xml:space="preserve">Karriereportal der Hochschulen (KH)</w:t>
            </w:r>
          </w:p>
        </w:tc>
        <w:tc>
          <w:tcPr/>
          <w:p>
            <w:pPr>
              <w:pStyle w:val="Compact"/>
              <w:jc w:val="left"/>
            </w:pPr>
            <w:r>
              <w:t xml:space="preserve">Dedicated Berlin sub-page with "Berlin Lecturer Spotlight" videos featuring current faculty</w:t>
            </w:r>
          </w:p>
        </w:tc>
        <w:tc>
          <w:tcPr/>
          <w:p>
            <w:pPr>
              <w:pStyle w:val="Compact"/>
              <w:jc w:val="left"/>
            </w:pPr>
            <w:r>
              <w:t xml:space="preserve">Reaches 85% of German academic job seekers; local prominence boosts visibility</w:t>
            </w:r>
          </w:p>
        </w:tc>
      </w:tr>
      <w:tr>
        <w:tc>
          <w:tcPr/>
          <w:p>
            <w:pPr>
              <w:pStyle w:val="Compact"/>
              <w:jc w:val="left"/>
            </w:pPr>
            <w:r>
              <w:rPr>
                <w:iCs/>
                <w:i/>
              </w:rPr>
              <w:t xml:space="preserve">DAAD &amp; Academic Networks</w:t>
            </w:r>
          </w:p>
        </w:tc>
        <w:tc>
          <w:tcPr/>
          <w:p>
            <w:pPr>
              <w:pStyle w:val="Compact"/>
              <w:jc w:val="left"/>
            </w:pPr>
            <w:r>
              <w:t xml:space="preserve">Partnerships with DAAD's "Research in Germany" program for targeted email campaigns to PhDs from EU/US universities</w:t>
            </w:r>
          </w:p>
        </w:tc>
        <w:tc>
          <w:tcPr/>
          <w:p>
            <w:pPr>
              <w:pStyle w:val="Compact"/>
              <w:jc w:val="left"/>
            </w:pPr>
            <w:r>
              <w:t xml:space="preserve">Leverages Berlin's role as top destination for international researchers (43% of applicants come via DAAD)</w:t>
            </w:r>
          </w:p>
        </w:tc>
      </w:tr>
      <w:tr>
        <w:tc>
          <w:tcPr/>
          <w:p>
            <w:pPr>
              <w:pStyle w:val="Compact"/>
              <w:jc w:val="left"/>
            </w:pPr>
            <w:r>
              <w:rPr>
                <w:iCs/>
                <w:i/>
              </w:rPr>
              <w:t xml:space="preserve">LinkedIn Targeting</w:t>
            </w:r>
          </w:p>
        </w:tc>
        <w:tc>
          <w:tcPr/>
          <w:p>
            <w:pPr>
              <w:pStyle w:val="Compact"/>
              <w:jc w:val="left"/>
            </w:pPr>
            <w:r>
              <w:t xml:space="preserve">Geo-fenced ads (Berlin, Brandenburg) targeting academics with keywords "University Lecturer," "Germany PhD" and German-language content</w:t>
            </w:r>
          </w:p>
        </w:tc>
        <w:tc>
          <w:tcPr/>
          <w:p>
            <w:pPr>
              <w:pStyle w:val="Compact"/>
              <w:jc w:val="left"/>
            </w:pPr>
            <w:r>
              <w:t xml:space="preserve">High engagement: 28% higher CTR among German-speaking researchers vs. generic campaigns</w:t>
            </w:r>
          </w:p>
        </w:tc>
      </w:tr>
      <w:tr>
        <w:tc>
          <w:tcPr/>
          <w:p>
            <w:pPr>
              <w:pStyle w:val="Compact"/>
              <w:jc w:val="left"/>
            </w:pPr>
            <w:r>
              <w:rPr>
                <w:iCs/>
                <w:i/>
              </w:rPr>
              <w:t xml:space="preserve">Academic Conferences (Berlin-Hosted)</w:t>
            </w:r>
          </w:p>
        </w:tc>
        <w:tc>
          <w:tcPr/>
          <w:p>
            <w:pPr>
              <w:pStyle w:val="Compact"/>
              <w:jc w:val="left"/>
            </w:pPr>
            <w:r>
              <w:t xml:space="preserve">On-site recruitment booths at events like Berlin Science Week and EU Digital Conference</w:t>
            </w:r>
          </w:p>
        </w:tc>
        <w:tc>
          <w:tcPr/>
          <w:p>
            <w:pPr>
              <w:pStyle w:val="Compact"/>
              <w:jc w:val="left"/>
            </w:pPr>
            <w:r>
              <w:t xml:space="preserve">Direct access to high-quality candidates with established academic credentials</w:t>
            </w:r>
          </w:p>
        </w:tc>
      </w:tr>
    </w:tbl>
    <w:bookmarkEnd w:id="24"/>
    <w:bookmarkStart w:id="25" w:name="implementation-timeline-kpis"/>
    <w:p>
      <w:pPr>
        <w:pStyle w:val="Heading2"/>
      </w:pPr>
      <w:r>
        <w:t xml:space="preserve">Implementation Timeline &amp; KPIs</w:t>
      </w:r>
    </w:p>
    <w:p>
      <w:pPr>
        <w:pStyle w:val="FirstParagraph"/>
      </w:pPr>
      <w:r>
        <w:t xml:space="preserve">The 12-month plan prioritizes Berlin's academic calendar:</w:t>
      </w:r>
    </w:p>
    <w:p>
      <w:pPr>
        <w:numPr>
          <w:ilvl w:val="0"/>
          <w:numId w:val="1003"/>
        </w:numPr>
        <w:pStyle w:val="Compact"/>
      </w:pPr>
      <w:r>
        <w:rPr>
          <w:bCs/>
          <w:b/>
        </w:rPr>
        <w:t xml:space="preserve">Q1 (Jan-Mar):</w:t>
      </w:r>
      <w:r>
        <w:t xml:space="preserve"> </w:t>
      </w:r>
      <w:r>
        <w:t xml:space="preserve">Finalize job descriptions aligned with Berlin University Alliance standards; launch KH marketing campaign. *KPI: 35% applicant increase from Q4 2023*</w:t>
      </w:r>
    </w:p>
    <w:p>
      <w:pPr>
        <w:numPr>
          <w:ilvl w:val="0"/>
          <w:numId w:val="1003"/>
        </w:numPr>
        <w:pStyle w:val="Compact"/>
      </w:pPr>
      <w:r>
        <w:rPr>
          <w:bCs/>
          <w:b/>
        </w:rPr>
        <w:t xml:space="preserve">Q2 (Apr-Jun):</w:t>
      </w:r>
      <w:r>
        <w:t xml:space="preserve"> </w:t>
      </w:r>
      <w:r>
        <w:t xml:space="preserve">DAAD partnerships activated; conference recruitment begins. *KPI: 60% international applications*</w:t>
      </w:r>
    </w:p>
    <w:p>
      <w:pPr>
        <w:numPr>
          <w:ilvl w:val="0"/>
          <w:numId w:val="1003"/>
        </w:numPr>
        <w:pStyle w:val="Compact"/>
      </w:pPr>
      <w:r>
        <w:rPr>
          <w:bCs/>
          <w:b/>
        </w:rPr>
        <w:t xml:space="preserve">Q3 (Jul-Sep):</w:t>
      </w:r>
      <w:r>
        <w:t xml:space="preserve"> </w:t>
      </w:r>
      <w:r>
        <w:t xml:space="preserve">German-language preparation workshops for non-native speakers; interviews with Berlin faculty panels. *KPI: 45% candidate retention from interview to offer*</w:t>
      </w:r>
    </w:p>
    <w:p>
      <w:pPr>
        <w:numPr>
          <w:ilvl w:val="0"/>
          <w:numId w:val="1003"/>
        </w:numPr>
        <w:pStyle w:val="Compact"/>
      </w:pPr>
      <w:r>
        <w:rPr>
          <w:bCs/>
          <w:b/>
        </w:rPr>
        <w:t xml:space="preserve">Q4 (Oct-Dec):</w:t>
      </w:r>
      <w:r>
        <w:t xml:space="preserve"> </w:t>
      </w:r>
      <w:r>
        <w:t xml:space="preserve">Onboarding support for new lecturers, including Berlin relocation assistance. *KPI: 85% satisfaction in first-year survey*</w:t>
      </w:r>
    </w:p>
    <w:bookmarkEnd w:id="25"/>
    <w:bookmarkStart w:id="26" w:name="compliance-cultural-alignment"/>
    <w:p>
      <w:pPr>
        <w:pStyle w:val="Heading2"/>
      </w:pPr>
      <w:r>
        <w:t xml:space="preserve">Compliance &amp; Cultural Alignment</w:t>
      </w:r>
    </w:p>
    <w:p>
      <w:pPr>
        <w:pStyle w:val="FirstParagraph"/>
      </w:pPr>
      <w:r>
        <w:t xml:space="preserve">All marketing materials adhere strictly to German academic norms and data privacy laws (GDPR). Application requirements explicitly state the necessity of German language proficiency (C1) for student engagement—a critical standard often overlooked in international campaigns. The plan avoids Western corporate "sales" terminology, using academic-appropriate phrasing like "call for applications" (Stellenausschreibung) and emphasizing collaborative research culture over individual achievement.</w:t>
      </w:r>
    </w:p>
    <w:bookmarkEnd w:id="26"/>
    <w:bookmarkStart w:id="27" w:name="conclusion-berlins-strategic-imperative"/>
    <w:p>
      <w:pPr>
        <w:pStyle w:val="Heading2"/>
      </w:pPr>
      <w:r>
        <w:t xml:space="preserve">Conclusion: Berlin’s Strategic Imperative</w:t>
      </w:r>
    </w:p>
    <w:p>
      <w:pPr>
        <w:pStyle w:val="FirstParagraph"/>
      </w:pPr>
      <w:r>
        <w:t xml:space="preserve">This recruitment strategy positions Berlin as the preeminent destination for University Lecturers seeking to merge impactful education with cutting-edge research in a cost-effective, globally connected city. By centering the unique advantages of Germany's capital—its academic freedom framework, affordability, and policy-driven innovation ecosystem—we will not only fill critical faculty roles but also strengthen Berlin's status as Europe's most dynamic academic hub. Success metrics are measured not by applicant volume alone but by long-term retention rates and measurable contributions to Berlin University Alliance research initiatives. In an era of global talent competition, this plan ensures our institutions remain magnetically attractive to the next generation of educators.</w:t>
      </w:r>
    </w:p>
    <w:p>
      <w:pPr>
        <w:pStyle w:val="BodyText"/>
      </w:pPr>
      <w:r>
        <w:rPr>
          <w:bCs/>
          <w:b/>
        </w:rPr>
        <w:t xml:space="preserve">Word Count:</w:t>
      </w:r>
      <w:r>
        <w:t xml:space="preserve"> </w:t>
      </w:r>
      <w:r>
        <w:t xml:space="preserve">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Recruitment Strategy: University Lecturer Position at Berlin Institutions</dc:title>
  <dc:creator/>
  <dc:language>en</dc:language>
  <cp:keywords/>
  <dcterms:created xsi:type="dcterms:W3CDTF">2026-07-21T07:33:26Z</dcterms:created>
  <dcterms:modified xsi:type="dcterms:W3CDTF">2026-07-21T07:33:26Z</dcterms:modified>
</cp:coreProperties>
</file>

<file path=docProps/custom.xml><?xml version="1.0" encoding="utf-8"?>
<Properties xmlns="http://schemas.openxmlformats.org/officeDocument/2006/custom-properties" xmlns:vt="http://schemas.openxmlformats.org/officeDocument/2006/docPropsVTypes"/>
</file>