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Positions</w:t>
      </w:r>
      <w:r>
        <w:t xml:space="preserve"> </w:t>
      </w:r>
      <w:r>
        <w:t xml:space="preserve">in</w:t>
      </w:r>
      <w:r>
        <w:t xml:space="preserve"> </w:t>
      </w:r>
      <w:r>
        <w:t xml:space="preserve">Germany</w:t>
      </w:r>
      <w:r>
        <w:t xml:space="preserve"> </w:t>
      </w:r>
      <w:r>
        <w:t xml:space="preserve">Frankfurt</w:t>
      </w:r>
    </w:p>
    <w:bookmarkStart w:id="34" w:name="X9504d8c39b78d9ac1e8a108efc3baa24348a7f7"/>
    <w:p>
      <w:pPr>
        <w:pStyle w:val="Heading1"/>
      </w:pPr>
      <w:r>
        <w:t xml:space="preserve">Comprehensive Marketing Plan for Attracting Elite University Lecturers to Frankfurt, Germany</w:t>
      </w:r>
    </w:p>
    <w:bookmarkStart w:id="20" w:name="executive-summary"/>
    <w:p>
      <w:pPr>
        <w:pStyle w:val="Heading2"/>
      </w:pPr>
      <w:r>
        <w:t xml:space="preserve">Executive Summary</w:t>
      </w:r>
    </w:p>
    <w:p>
      <w:pPr>
        <w:pStyle w:val="FirstParagraph"/>
      </w:pPr>
      <w:r>
        <w:t xml:space="preserve">This Marketing Plan outlines a strategic initiative to recruit world-class University Lecturers for leading institutions in Germany Frankfurt. As the economic and academic hub of continental Europe, Frankfurt presents unparalleled opportunities for academic excellence and innovation. This plan targets top-tier scholars globally, positioning Frankfurt as the premier destination for those seeking to shape future leaders while enjoying Germany's high quality of life. The campaign will leverage Frankfurt's unique ecosystem—combining global finance, cultural diversity, and cutting-edge research—to attract 35+ qualified University Lecturers within 18 months.</w:t>
      </w:r>
    </w:p>
    <w:bookmarkEnd w:id="20"/>
    <w:bookmarkStart w:id="21" w:name="X65642b15d49f420cb984430006eea968d0b2b04"/>
    <w:p>
      <w:pPr>
        <w:pStyle w:val="Heading2"/>
      </w:pPr>
      <w:r>
        <w:t xml:space="preserve">Market Analysis: Frankfurt as an Academic Destination</w:t>
      </w:r>
    </w:p>
    <w:p>
      <w:pPr>
        <w:pStyle w:val="FirstParagraph"/>
      </w:pPr>
      <w:r>
        <w:t xml:space="preserve">Germany Frankfurt offers a distinctive academic landscape unmatched in Europe. With the Goethe University Frankfurt (Johann Wolfgang Goethe-Universität), Frankfurt School of Finance &amp; Management, and numerous research institutes, the city hosts 15+ universities and 60,000+ international students. As Germany's financial capital and home to the European Central Bank, Frankfurt provides University Lecturers with direct industry access rarely found elsewhere. The</w:t>
      </w:r>
      <w:r>
        <w:t xml:space="preserve"> </w:t>
      </w:r>
      <w:r>
        <w:rPr>
          <w:iCs/>
          <w:i/>
        </w:rPr>
        <w:t xml:space="preserve">University Lecturer</w:t>
      </w:r>
      <w:r>
        <w:t xml:space="preserve"> </w:t>
      </w:r>
      <w:r>
        <w:t xml:space="preserve">role here transcends traditional academia—enabling engagement with global corporations like Deutsche Bank, DAX companies, and EU institutions. This synergy between theory and practice is a cornerstone of our value proposition.</w:t>
      </w:r>
    </w:p>
    <w:bookmarkEnd w:id="21"/>
    <w:bookmarkStart w:id="22" w:name="target-audience-segmentation"/>
    <w:p>
      <w:pPr>
        <w:pStyle w:val="Heading2"/>
      </w:pPr>
      <w:r>
        <w:t xml:space="preserve">Target Audience Segmentation</w:t>
      </w:r>
    </w:p>
    <w:p>
      <w:pPr>
        <w:pStyle w:val="FirstParagraph"/>
      </w:pPr>
      <w:r>
        <w:t xml:space="preserve">We will target three primary segments:</w:t>
      </w:r>
    </w:p>
    <w:p>
      <w:pPr>
        <w:numPr>
          <w:ilvl w:val="0"/>
          <w:numId w:val="1001"/>
        </w:numPr>
        <w:pStyle w:val="Compact"/>
      </w:pPr>
      <w:r>
        <w:rPr>
          <w:bCs/>
          <w:b/>
        </w:rPr>
        <w:t xml:space="preserve">Early-Career Academics (30-40 years):</w:t>
      </w:r>
      <w:r>
        <w:t xml:space="preserve"> </w:t>
      </w:r>
      <w:r>
        <w:t xml:space="preserve">PhD holders seeking tenure-track roles with industry integration. Frankfurt's 3-year postdoctoral programs and research grants are key hooks.</w:t>
      </w:r>
    </w:p>
    <w:p>
      <w:pPr>
        <w:numPr>
          <w:ilvl w:val="0"/>
          <w:numId w:val="1001"/>
        </w:numPr>
        <w:pStyle w:val="Compact"/>
      </w:pPr>
      <w:r>
        <w:rPr>
          <w:bCs/>
          <w:b/>
        </w:rPr>
        <w:t xml:space="preserve">Senior Scholars (45-60 years):</w:t>
      </w:r>
      <w:r>
        <w:t xml:space="preserve"> </w:t>
      </w:r>
      <w:r>
        <w:t xml:space="preserve">Established professors desiring to lead new interdisciplinary initiatives. We emphasize Frankfurt’s status as a global hub for fintech, climate science, and AI.</w:t>
      </w:r>
    </w:p>
    <w:p>
      <w:pPr>
        <w:numPr>
          <w:ilvl w:val="0"/>
          <w:numId w:val="1001"/>
        </w:numPr>
        <w:pStyle w:val="Compact"/>
      </w:pPr>
      <w:r>
        <w:rPr>
          <w:bCs/>
          <w:b/>
        </w:rPr>
        <w:t xml:space="preserve">International Candidates (Global):</w:t>
      </w:r>
      <w:r>
        <w:t xml:space="preserve"> </w:t>
      </w:r>
      <w:r>
        <w:t xml:space="preserve">65% of our target audience will be non-German speakers. We prioritize candidates from the US, UK, India, and East Asia with EU research experience.</w:t>
      </w:r>
    </w:p>
    <w:bookmarkEnd w:id="22"/>
    <w:bookmarkStart w:id="23" w:name="X0260a6931d8f6d103ee326c6b926fa2f9dce061"/>
    <w:p>
      <w:pPr>
        <w:pStyle w:val="Heading2"/>
      </w:pPr>
      <w:r>
        <w:t xml:space="preserve">Unique Value Propositions for University Lecturers</w:t>
      </w:r>
    </w:p>
    <w:p>
      <w:pPr>
        <w:pStyle w:val="FirstParagraph"/>
      </w:pPr>
      <w:r>
        <w:t xml:space="preserve">Beyond competitive salaries (€70K–€95K base), Frankfurt offers:</w:t>
      </w:r>
    </w:p>
    <w:p>
      <w:pPr>
        <w:numPr>
          <w:ilvl w:val="0"/>
          <w:numId w:val="1002"/>
        </w:numPr>
        <w:pStyle w:val="Compact"/>
      </w:pPr>
      <w:r>
        <w:rPr>
          <w:bCs/>
          <w:b/>
        </w:rPr>
        <w:t xml:space="preserve">Industry-Academia Bridge:</w:t>
      </w:r>
      <w:r>
        <w:t xml:space="preserve"> </w:t>
      </w:r>
      <w:r>
        <w:t xml:space="preserve">Mandatory industry partnerships for all University Lecturers, enabling joint projects with DAX 30 companies.</w:t>
      </w:r>
    </w:p>
    <w:p>
      <w:pPr>
        <w:numPr>
          <w:ilvl w:val="0"/>
          <w:numId w:val="1002"/>
        </w:numPr>
        <w:pStyle w:val="Compact"/>
      </w:pPr>
      <w:r>
        <w:rPr>
          <w:bCs/>
          <w:b/>
        </w:rPr>
        <w:t xml:space="preserve">Global Mobility Network:</w:t>
      </w:r>
      <w:r>
        <w:t xml:space="preserve"> </w:t>
      </w:r>
      <w:r>
        <w:t xml:space="preserve">Direct access to 50+ partner universities across Europe and Asia through Frankfurt’s academic alliances.</w:t>
      </w:r>
    </w:p>
    <w:p>
      <w:pPr>
        <w:numPr>
          <w:ilvl w:val="0"/>
          <w:numId w:val="1002"/>
        </w:numPr>
        <w:pStyle w:val="Compact"/>
      </w:pPr>
      <w:r>
        <w:rPr>
          <w:bCs/>
          <w:b/>
        </w:rPr>
        <w:t xml:space="preserve">Lifestyle Advantages:</w:t>
      </w:r>
      <w:r>
        <w:t xml:space="preserve"> </w:t>
      </w:r>
      <w:r>
        <w:t xml:space="preserve">Tax benefits for academics (up to €12K/year exemption), affordable housing in central districts, and 12 hours/week teaching load allowing research focus.</w:t>
      </w:r>
    </w:p>
    <w:p>
      <w:pPr>
        <w:numPr>
          <w:ilvl w:val="0"/>
          <w:numId w:val="1002"/>
        </w:numPr>
        <w:pStyle w:val="Compact"/>
      </w:pPr>
      <w:r>
        <w:rPr>
          <w:bCs/>
          <w:b/>
        </w:rPr>
        <w:t xml:space="preserve">Strategic Location:</w:t>
      </w:r>
      <w:r>
        <w:t xml:space="preserve"> </w:t>
      </w:r>
      <w:r>
        <w:t xml:space="preserve">Frankfurt Airport’s 500+ weekly global flights positions it as Europe’s most accessible city from North America, Asia, and Africa.</w:t>
      </w:r>
    </w:p>
    <w:bookmarkEnd w:id="23"/>
    <w:bookmarkStart w:id="28" w:name="marketing-strategies-tactics"/>
    <w:p>
      <w:pPr>
        <w:pStyle w:val="Heading2"/>
      </w:pPr>
      <w:r>
        <w:t xml:space="preserve">Marketing Strategies &amp; Tactics</w:t>
      </w:r>
    </w:p>
    <w:p>
      <w:pPr>
        <w:pStyle w:val="FirstParagraph"/>
      </w:pPr>
      <w:r>
        <w:t xml:space="preserve">We deploy a multi-channel approach tailored to academic behaviors:</w:t>
      </w:r>
    </w:p>
    <w:bookmarkStart w:id="24" w:name="digital-precision-targeting-40-of-budget"/>
    <w:p>
      <w:pPr>
        <w:pStyle w:val="Heading3"/>
      </w:pPr>
      <w:r>
        <w:t xml:space="preserve">1. Digital Precision Targeting (40% of budget)</w:t>
      </w:r>
    </w:p>
    <w:p>
      <w:pPr>
        <w:numPr>
          <w:ilvl w:val="0"/>
          <w:numId w:val="1003"/>
        </w:numPr>
        <w:pStyle w:val="Compact"/>
      </w:pPr>
      <w:r>
        <w:rPr>
          <w:iCs/>
          <w:i/>
        </w:rPr>
        <w:t xml:space="preserve">Academic Social Media Campaigns:</w:t>
      </w:r>
      <w:r>
        <w:t xml:space="preserve"> </w:t>
      </w:r>
      <w:r>
        <w:t xml:space="preserve">LinkedIn and ResearchGate ads targeting keywords like "University Lecturer Germany," "finance academia Frankfurt," with case studies from current lecturers.</w:t>
      </w:r>
    </w:p>
    <w:p>
      <w:pPr>
        <w:numPr>
          <w:ilvl w:val="0"/>
          <w:numId w:val="1003"/>
        </w:numPr>
        <w:pStyle w:val="Compact"/>
      </w:pPr>
      <w:r>
        <w:rPr>
          <w:iCs/>
          <w:i/>
        </w:rPr>
        <w:t xml:space="preserve">Dedicated Career Hub:</w:t>
      </w:r>
      <w:r>
        <w:t xml:space="preserve"> </w:t>
      </w:r>
      <w:r>
        <w:t xml:space="preserve">A responsive website (universitylecturer.frankfurt.de) featuring video testimonials, industry collaboration maps, and a real-time vacancy dashboard.</w:t>
      </w:r>
    </w:p>
    <w:p>
      <w:pPr>
        <w:numPr>
          <w:ilvl w:val="0"/>
          <w:numId w:val="1003"/>
        </w:numPr>
        <w:pStyle w:val="Compact"/>
      </w:pPr>
      <w:r>
        <w:rPr>
          <w:iCs/>
          <w:i/>
        </w:rPr>
        <w:t xml:space="preserve">SEO Strategy:</w:t>
      </w:r>
      <w:r>
        <w:t xml:space="preserve"> </w:t>
      </w:r>
      <w:r>
        <w:t xml:space="preserve">Optimizing for "University Lecturer jobs Germany Frankfurt" with localized content addressing visa processes and integration support.</w:t>
      </w:r>
    </w:p>
    <w:bookmarkEnd w:id="24"/>
    <w:bookmarkStart w:id="25" w:name="academic-network-engagement-30-of-budget"/>
    <w:p>
      <w:pPr>
        <w:pStyle w:val="Heading3"/>
      </w:pPr>
      <w:r>
        <w:t xml:space="preserve">2. Academic Network Engagement (30% of budget)</w:t>
      </w:r>
    </w:p>
    <w:p>
      <w:pPr>
        <w:numPr>
          <w:ilvl w:val="0"/>
          <w:numId w:val="1004"/>
        </w:numPr>
        <w:pStyle w:val="Compact"/>
      </w:pPr>
      <w:r>
        <w:rPr>
          <w:iCs/>
          <w:i/>
        </w:rPr>
        <w:t xml:space="preserve">University Partnerships:</w:t>
      </w:r>
      <w:r>
        <w:t xml:space="preserve"> </w:t>
      </w:r>
      <w:r>
        <w:t xml:space="preserve">Co-hosting symposiums at top 50 global universities (e.g., LSE, NUS) with Frankfurt university representatives.</w:t>
      </w:r>
    </w:p>
    <w:p>
      <w:pPr>
        <w:numPr>
          <w:ilvl w:val="0"/>
          <w:numId w:val="1004"/>
        </w:numPr>
        <w:pStyle w:val="Compact"/>
      </w:pPr>
      <w:r>
        <w:rPr>
          <w:iCs/>
          <w:i/>
        </w:rPr>
        <w:t xml:space="preserve">Influencer Collaborations:</w:t>
      </w:r>
      <w:r>
        <w:t xml:space="preserve"> </w:t>
      </w:r>
      <w:r>
        <w:t xml:space="preserve">Partnering with prominent German academics on platforms like YouTube for "Day in the Life" content showcasing Frankfurt’s academic environment.</w:t>
      </w:r>
    </w:p>
    <w:p>
      <w:pPr>
        <w:numPr>
          <w:ilvl w:val="0"/>
          <w:numId w:val="1004"/>
        </w:numPr>
        <w:pStyle w:val="Compact"/>
      </w:pPr>
      <w:r>
        <w:rPr>
          <w:iCs/>
          <w:i/>
        </w:rPr>
        <w:t xml:space="preserve">Conference Presence:</w:t>
      </w:r>
      <w:r>
        <w:t xml:space="preserve"> </w:t>
      </w:r>
      <w:r>
        <w:t xml:space="preserve">Dedicated booth at the European Economic Association Congress (Frankfurt, 2024) with live interviews and application kiosks.</w:t>
      </w:r>
    </w:p>
    <w:bookmarkEnd w:id="25"/>
    <w:bookmarkStart w:id="26" w:name="Xe7cbaffd75e199ce6fa35e584942a4d3bc3ff0d"/>
    <w:p>
      <w:pPr>
        <w:pStyle w:val="Heading3"/>
      </w:pPr>
      <w:r>
        <w:t xml:space="preserve">3. Personalized Candidate Experience (25% of budget)</w:t>
      </w:r>
    </w:p>
    <w:p>
      <w:pPr>
        <w:numPr>
          <w:ilvl w:val="0"/>
          <w:numId w:val="1005"/>
        </w:numPr>
        <w:pStyle w:val="Compact"/>
      </w:pPr>
      <w:r>
        <w:rPr>
          <w:iCs/>
          <w:i/>
        </w:rPr>
        <w:t xml:space="preserve">Pre-Application Support:</w:t>
      </w:r>
      <w:r>
        <w:t xml:space="preserve"> </w:t>
      </w:r>
      <w:r>
        <w:t xml:space="preserve">Free visa counseling sessions via German Academic Exchange Service (DAAD) partners.</w:t>
      </w:r>
    </w:p>
    <w:p>
      <w:pPr>
        <w:numPr>
          <w:ilvl w:val="0"/>
          <w:numId w:val="1005"/>
        </w:numPr>
        <w:pStyle w:val="Compact"/>
      </w:pPr>
      <w:r>
        <w:rPr>
          <w:iCs/>
          <w:i/>
        </w:rPr>
        <w:t xml:space="preserve">Virtual Campus Tours:</w:t>
      </w:r>
      <w:r>
        <w:t xml:space="preserve"> </w:t>
      </w:r>
      <w:r>
        <w:t xml:space="preserve">3D immersive tours of Frankfurt’s research labs, libraries, and housing options.</w:t>
      </w:r>
    </w:p>
    <w:p>
      <w:pPr>
        <w:numPr>
          <w:ilvl w:val="0"/>
          <w:numId w:val="1005"/>
        </w:numPr>
        <w:pStyle w:val="Compact"/>
      </w:pPr>
      <w:r>
        <w:rPr>
          <w:iCs/>
          <w:i/>
        </w:rPr>
        <w:t xml:space="preserve">Cultural Integration Program:</w:t>
      </w:r>
      <w:r>
        <w:t xml:space="preserve"> </w:t>
      </w:r>
      <w:r>
        <w:t xml:space="preserve">"Frankfurt Welcome Package" including language courses and networking dinners with current lecturers.</w:t>
      </w:r>
    </w:p>
    <w:bookmarkEnd w:id="26"/>
    <w:bookmarkStart w:id="27" w:name="community-building-5-of-budget"/>
    <w:p>
      <w:pPr>
        <w:pStyle w:val="Heading3"/>
      </w:pPr>
      <w:r>
        <w:t xml:space="preserve">4. Community Building (5% of budget)</w:t>
      </w:r>
    </w:p>
    <w:p>
      <w:pPr>
        <w:pStyle w:val="FirstParagraph"/>
      </w:pPr>
      <w:r>
        <w:t xml:space="preserve">Leveraging Frankfurt’s reputation as a cosmopolitan city through:</w:t>
      </w:r>
    </w:p>
    <w:p>
      <w:pPr>
        <w:numPr>
          <w:ilvl w:val="0"/>
          <w:numId w:val="1006"/>
        </w:numPr>
        <w:pStyle w:val="Compact"/>
      </w:pPr>
      <w:r>
        <w:t xml:space="preserve">Sponsorship of the annual Frankfurt International Academic Festival</w:t>
      </w:r>
    </w:p>
    <w:p>
      <w:pPr>
        <w:numPr>
          <w:ilvl w:val="0"/>
          <w:numId w:val="1006"/>
        </w:numPr>
        <w:pStyle w:val="Compact"/>
      </w:pPr>
      <w:r>
        <w:t xml:space="preserve">Collaboration with Frankfurt Tourism to create "Academic Explorer" travel guides highlighting research sites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Pre-Launch Research &amp; Setup</w:t>
      </w:r>
    </w:p>
    <w:p>
      <w:pPr>
        <w:pStyle w:val="BodyText"/>
      </w:pPr>
      <w:r>
        <w:t xml:space="preserve">Months 1-3</w:t>
      </w:r>
    </w:p>
    <w:p>
      <w:pPr>
        <w:pStyle w:val="BodyText"/>
      </w:pPr>
      <w:r>
        <w:t xml:space="preserve">Campaign testing, partner onboarding, website development.</w:t>
      </w:r>
    </w:p>
    <w:p>
      <w:pPr>
        <w:pStyle w:val="BodyText"/>
      </w:pPr>
      <w:r>
        <w:t xml:space="preserve">Global Launch Campaign</w:t>
      </w:r>
    </w:p>
    <w:p>
      <w:pPr>
        <w:pStyle w:val="BodyText"/>
      </w:pPr>
      <w:r>
        <w:t xml:space="preserve">Months 4-9</w:t>
      </w:r>
    </w:p>
    <w:p>
      <w:pPr>
        <w:pStyle w:val="BodyText"/>
      </w:pPr>
      <w:r>
        <w:t xml:space="preserve">&lt;</w:t>
      </w:r>
    </w:p>
    <w:p>
      <w:pPr>
        <w:pStyle w:val="BodyText"/>
      </w:pPr>
      <w:r>
        <w:t xml:space="preserve">Digital campaigns, university partnerships, conference activations.</w:t>
      </w:r>
    </w:p>
    <w:p>
      <w:pPr>
        <w:pStyle w:val="BodyText"/>
      </w:pPr>
      <w:r>
        <w:t xml:space="preserve">Candidate Nurturing &amp; Interviews</w:t>
      </w:r>
    </w:p>
    <w:p>
      <w:pPr>
        <w:pStyle w:val="BodyText"/>
      </w:pPr>
      <w:r>
        <w:t xml:space="preserve">Months 10-15</w:t>
      </w:r>
    </w:p>
    <w:p>
      <w:pPr>
        <w:pStyle w:val="BodyText"/>
      </w:pPr>
      <w:r>
        <w:t xml:space="preserve">&lt;</w:t>
      </w:r>
    </w:p>
    <w:p>
      <w:pPr>
        <w:pStyle w:val="BodyText"/>
      </w:pPr>
      <w:r>
        <w:t xml:space="preserve">Virtual tours, personalized outreach, interview scheduling.</w:t>
      </w:r>
    </w:p>
    <w:p>
      <w:pPr>
        <w:pStyle w:val="BodyText"/>
      </w:pPr>
      <w:r>
        <w:t xml:space="preserve">Conversion &amp; Onboarding</w:t>
      </w:r>
    </w:p>
    <w:p>
      <w:pPr>
        <w:pStyle w:val="BodyText"/>
      </w:pPr>
      <w:r>
        <w:t xml:space="preserve">Months 16-18</w:t>
      </w:r>
    </w:p>
    <w:p>
      <w:pPr>
        <w:pStyle w:val="BodyText"/>
      </w:pPr>
      <w:r>
        <w:t xml:space="preserve">Candidate placement, integration program launch.</w:t>
      </w:r>
    </w:p>
    <w:bookmarkEnd w:id="29"/>
    <w:bookmarkStart w:id="30" w:name="budget-allocation-total-450000"/>
    <w:p>
      <w:pPr>
        <w:pStyle w:val="Heading2"/>
      </w:pPr>
      <w:r>
        <w:t xml:space="preserve">Budget Allocation (Total: €450,000)</w:t>
      </w:r>
    </w:p>
    <w:p>
      <w:pPr>
        <w:pStyle w:val="FirstParagraph"/>
      </w:pPr>
      <w:r>
        <w:t xml:space="preserve">The plan prioritizes cost-effective digital channels over traditional media. Key allocations include:</w:t>
      </w:r>
    </w:p>
    <w:p>
      <w:pPr>
        <w:numPr>
          <w:ilvl w:val="0"/>
          <w:numId w:val="1007"/>
        </w:numPr>
        <w:pStyle w:val="Compact"/>
      </w:pPr>
      <w:r>
        <w:t xml:space="preserve">Digital Advertising: €180,000 (45%)</w:t>
      </w:r>
    </w:p>
    <w:p>
      <w:pPr>
        <w:numPr>
          <w:ilvl w:val="0"/>
          <w:numId w:val="1007"/>
        </w:numPr>
        <w:pStyle w:val="Compact"/>
      </w:pPr>
      <w:r>
        <w:t xml:space="preserve">Academic Partnerships &amp; Events: €135,000 (35%)</w:t>
      </w:r>
    </w:p>
    <w:p>
      <w:pPr>
        <w:numPr>
          <w:ilvl w:val="0"/>
          <w:numId w:val="1007"/>
        </w:numPr>
        <w:pStyle w:val="Compact"/>
      </w:pPr>
      <w:r>
        <w:t xml:space="preserve">Content Creation &amp; Website: €75,000 (22%)</w:t>
      </w:r>
    </w:p>
    <w:p>
      <w:pPr>
        <w:numPr>
          <w:ilvl w:val="0"/>
          <w:numId w:val="1007"/>
        </w:numPr>
        <w:pStyle w:val="Compact"/>
      </w:pPr>
      <w:r>
        <w:t xml:space="preserve">Evaluation Metrics Tools: €60,000 (18%)</w:t>
      </w:r>
    </w:p>
    <w:bookmarkEnd w:id="30"/>
    <w:bookmarkStart w:id="31" w:name="evaluation-metrics-kpis"/>
    <w:p>
      <w:pPr>
        <w:pStyle w:val="Heading2"/>
      </w:pPr>
      <w:r>
        <w:t xml:space="preserve">Evaluation Metrics &amp; KPIs</w:t>
      </w:r>
    </w:p>
    <w:p>
      <w:pPr>
        <w:pStyle w:val="FirstParagraph"/>
      </w:pPr>
      <w:r>
        <w:t xml:space="preserve">We measure success through:</w:t>
      </w:r>
    </w:p>
    <w:p>
      <w:pPr>
        <w:numPr>
          <w:ilvl w:val="0"/>
          <w:numId w:val="1008"/>
        </w:numPr>
        <w:pStyle w:val="Compact"/>
      </w:pPr>
      <w:r>
        <w:rPr>
          <w:iCs/>
          <w:i/>
        </w:rPr>
        <w:t xml:space="preserve">Application Volume:</w:t>
      </w:r>
      <w:r>
        <w:t xml:space="preserve"> </w:t>
      </w:r>
      <w:r>
        <w:t xml:space="preserve">5x increase in qualified applicants vs. 2023 (target: 180+ applications).</w:t>
      </w:r>
    </w:p>
    <w:p>
      <w:pPr>
        <w:numPr>
          <w:ilvl w:val="0"/>
          <w:numId w:val="1008"/>
        </w:numPr>
        <w:pStyle w:val="Compact"/>
      </w:pPr>
      <w:r>
        <w:rPr>
          <w:iCs/>
          <w:i/>
        </w:rPr>
        <w:t xml:space="preserve">Diversity Metrics:</w:t>
      </w:r>
      <w:r>
        <w:t xml:space="preserve"> </w:t>
      </w:r>
      <w:r>
        <w:t xml:space="preserve">Achieving 45% non-German candidates by Year-2.</w:t>
      </w:r>
    </w:p>
    <w:p>
      <w:pPr>
        <w:numPr>
          <w:ilvl w:val="0"/>
          <w:numId w:val="1008"/>
        </w:numPr>
        <w:pStyle w:val="Compact"/>
      </w:pPr>
      <w:r>
        <w:rPr>
          <w:iCs/>
          <w:i/>
        </w:rPr>
        <w:t xml:space="preserve">Time-to-Hire:</w:t>
      </w:r>
      <w:r>
        <w:t xml:space="preserve"> </w:t>
      </w:r>
      <w:r>
        <w:t xml:space="preserve">Reducing average recruitment cycle from 90 to 60 days.</w:t>
      </w:r>
    </w:p>
    <w:p>
      <w:pPr>
        <w:numPr>
          <w:ilvl w:val="0"/>
          <w:numId w:val="1008"/>
        </w:numPr>
        <w:pStyle w:val="Compact"/>
      </w:pPr>
      <w:r>
        <w:rPr>
          <w:iCs/>
          <w:i/>
        </w:rPr>
        <w:t xml:space="preserve">Candidate Satisfaction:</w:t>
      </w:r>
      <w:r>
        <w:t xml:space="preserve"> </w:t>
      </w:r>
      <w:r>
        <w:t xml:space="preserve">Minimum 85% NPS (Net Promoter Score) post-interview surveys.</w:t>
      </w:r>
    </w:p>
    <w:bookmarkEnd w:id="31"/>
    <w:bookmarkStart w:id="32" w:name="Xc7041454f3f2497409a2a29a2272ed1b5b2ba34"/>
    <w:p>
      <w:pPr>
        <w:pStyle w:val="Heading2"/>
      </w:pPr>
      <w:r>
        <w:t xml:space="preserve">Why Frankfurt Wins: The Strategic Imperative</w:t>
      </w:r>
    </w:p>
    <w:p>
      <w:pPr>
        <w:pStyle w:val="FirstParagraph"/>
      </w:pPr>
      <w:r>
        <w:t xml:space="preserve">The University Lecturer role in Germany Frankfurt isn’t merely a job—it’s an invitation to co-create the future. With 13% of global academic papers published by German institutions (BMBF data), and Frankfurt leading in fintech/AI research, our candidates become catalysts for innovation. Unlike static university towns, Frankfurt offers dynamic professional evolution: lecturers transition from classroom teaching to boardroom advisory roles within years. This ecosystem—where academia meets real-world impact—is the core of our Marketing Plan’s promise.</w:t>
      </w:r>
    </w:p>
    <w:p>
      <w:pPr>
        <w:pStyle w:val="BodyText"/>
      </w:pPr>
      <w:r>
        <w:t xml:space="preserve">By embedding "Germany Frankfurt" as synonymous with academic excellence, industry relevance, and global citizenship in every campaign touchpoint, we position this University Lecturer opportunity as the pinnacle career choice for forward-thinking educators. This plan doesn’t just fill positions—it elevates Frankfurt’s status as Europe’s undisputed academic frontier.</w:t>
      </w:r>
    </w:p>
    <w:bookmarkEnd w:id="32"/>
    <w:bookmarkStart w:id="33" w:name="conclusion"/>
    <w:p>
      <w:pPr>
        <w:pStyle w:val="Heading2"/>
      </w:pPr>
      <w:r>
        <w:t xml:space="preserve">Conclusion</w:t>
      </w:r>
    </w:p>
    <w:p>
      <w:pPr>
        <w:pStyle w:val="FirstParagraph"/>
      </w:pPr>
      <w:r>
        <w:t xml:space="preserve">The Marketing Plan for University Lecturer recruitment in Germany Frankfurt delivers a data-driven, candidate-centric strategy that transforms institutional needs into aspirational opportunities. Through targeted digital engagement, strategic partnerships, and relentless focus on Frankfurt’s unique ecosystem, we will attract talent that defines tomorrow’s academic landscape. This initiative is not merely about recruitment—it’s about building the intellectual engine of Europe's most dynamic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Positions in Germany Frankfurt</dc:title>
  <dc:creator/>
  <dc:language>en</dc:language>
  <cp:keywords/>
  <dcterms:created xsi:type="dcterms:W3CDTF">2026-07-24T09:52:56Z</dcterms:created>
  <dcterms:modified xsi:type="dcterms:W3CDTF">2026-07-24T09:52:56Z</dcterms:modified>
</cp:coreProperties>
</file>

<file path=docProps/custom.xml><?xml version="1.0" encoding="utf-8"?>
<Properties xmlns="http://schemas.openxmlformats.org/officeDocument/2006/custom-properties" xmlns:vt="http://schemas.openxmlformats.org/officeDocument/2006/docPropsVTypes"/>
</file>