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32" w:name="Xd8db394cf544a605bdec1ce5976f428bfa7ae57"/>
    <w:p>
      <w:pPr>
        <w:pStyle w:val="Heading1"/>
      </w:pPr>
      <w:r>
        <w:t xml:space="preserve">Comprehensive Marketing Plan for University Lecturer Recruitment in Jakarta, Indonesia</w:t>
      </w:r>
    </w:p>
    <w:bookmarkStart w:id="20" w:name="executive-summary"/>
    <w:p>
      <w:pPr>
        <w:pStyle w:val="Heading2"/>
      </w:pPr>
      <w:r>
        <w:t xml:space="preserve">Executive Summary</w:t>
      </w:r>
    </w:p>
    <w:p>
      <w:pPr>
        <w:pStyle w:val="FirstParagraph"/>
      </w:pPr>
      <w:r>
        <w:t xml:space="preserve">This marketing plan outlines a strategic approach to attract and secure top-tier University Lecturers for higher education institutions across Jakarta, Indonesia. With Jakarta serving as the nation's educational hub housing over 40 universities and 300,000+ students, this initiative addresses critical faculty shortages while positioning participating institutions as leaders in academic excellence. Our target is to fill 52 lecturer positions within 12 months through a culturally nuanced, multi-channel strategy that emphasizes Indonesia's unique academic landscape and Jakarta's dynamic educational ecosystem.</w:t>
      </w:r>
    </w:p>
    <w:bookmarkEnd w:id="20"/>
    <w:bookmarkStart w:id="21" w:name="X724b4c14878dbfa9578a74a391f00c0a2db7b00"/>
    <w:p>
      <w:pPr>
        <w:pStyle w:val="Heading2"/>
      </w:pPr>
      <w:r>
        <w:t xml:space="preserve">Market Analysis: Jakarta's Higher Education Landscape</w:t>
      </w:r>
    </w:p>
    <w:p>
      <w:pPr>
        <w:pStyle w:val="FirstParagraph"/>
      </w:pPr>
      <w:r>
        <w:t xml:space="preserve">Indonesia Jakarta represents the epicenter of tertiary education in Southeast Asia, accounting for 35% of the country's university graduates. However, a critical shortage exists with only 1.8 lecturers per 100 students (versus Indonesia's target of 3:1), creating urgent demand for qualified academic professionals. The Jakarta market is characterized by:</w:t>
      </w:r>
    </w:p>
    <w:p>
      <w:pPr>
        <w:numPr>
          <w:ilvl w:val="0"/>
          <w:numId w:val="1001"/>
        </w:numPr>
        <w:pStyle w:val="Compact"/>
      </w:pPr>
      <w:r>
        <w:rPr>
          <w:bCs/>
          <w:b/>
        </w:rPr>
        <w:t xml:space="preserve">High Competition:</w:t>
      </w:r>
      <w:r>
        <w:t xml:space="preserve"> </w:t>
      </w:r>
      <w:r>
        <w:t xml:space="preserve">Top universities like UI, ITB, and BINUS compete fiercely for talent</w:t>
      </w:r>
    </w:p>
    <w:p>
      <w:pPr>
        <w:numPr>
          <w:ilvl w:val="0"/>
          <w:numId w:val="1001"/>
        </w:numPr>
        <w:pStyle w:val="Compact"/>
      </w:pPr>
      <w:r>
        <w:rPr>
          <w:bCs/>
          <w:b/>
        </w:rPr>
        <w:t xml:space="preserve">Cultural Nuance:</w:t>
      </w:r>
      <w:r>
        <w:t xml:space="preserve"> </w:t>
      </w:r>
      <w:r>
        <w:t xml:space="preserve">Indonesian academia values hierarchical respect (sapaan) and community engagement over Western individualism</w:t>
      </w:r>
    </w:p>
    <w:p>
      <w:pPr>
        <w:numPr>
          <w:ilvl w:val="0"/>
          <w:numId w:val="1001"/>
        </w:numPr>
        <w:pStyle w:val="Compact"/>
      </w:pPr>
      <w:r>
        <w:rPr>
          <w:bCs/>
          <w:b/>
        </w:rPr>
        <w:t xml:space="preserve">Government Priorities:</w:t>
      </w:r>
      <w:r>
        <w:t xml:space="preserve"> </w:t>
      </w:r>
      <w:r>
        <w:t xml:space="preserve">Kemenristekdikti mandates 20% of faculty to hold doctoral degrees by 2025</w:t>
      </w:r>
    </w:p>
    <w:p>
      <w:pPr>
        <w:numPr>
          <w:ilvl w:val="0"/>
          <w:numId w:val="1001"/>
        </w:numPr>
        <w:pStyle w:val="Compact"/>
      </w:pPr>
      <w:r>
        <w:rPr>
          <w:bCs/>
          <w:b/>
        </w:rPr>
        <w:t xml:space="preserve">Geographic Concentration:</w:t>
      </w:r>
      <w:r>
        <w:t xml:space="preserve"> </w:t>
      </w:r>
      <w:r>
        <w:t xml:space="preserve">Jakarta absorbs 68% of national academic recruitment despite only housing 14% of Indonesia's population</w:t>
      </w:r>
    </w:p>
    <w:p>
      <w:pPr>
        <w:pStyle w:val="FirstParagraph"/>
      </w:pPr>
      <w:r>
        <w:t xml:space="preserve">This gap presents an opportunity to position our lecturer recruitment as a solution to Indonesia's national education goals while capitalizing on Jakarta's strategic importance.</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University Lecturer marketing campaign:</w:t>
      </w:r>
    </w:p>
    <w:p>
      <w:pPr>
        <w:numPr>
          <w:ilvl w:val="0"/>
          <w:numId w:val="1002"/>
        </w:numPr>
        <w:pStyle w:val="Compact"/>
      </w:pPr>
      <w:r>
        <w:rPr>
          <w:bCs/>
          <w:b/>
        </w:rPr>
        <w:t xml:space="preserve">Domestic Academics (65% of target):</w:t>
      </w:r>
      <w:r>
        <w:t xml:space="preserve"> </w:t>
      </w:r>
      <w:r>
        <w:t xml:space="preserve">Indonesian PhD holders at local universities seeking career advancement or better institutional support in Jakarta's premium academic environment</w:t>
      </w:r>
    </w:p>
    <w:p>
      <w:pPr>
        <w:numPr>
          <w:ilvl w:val="0"/>
          <w:numId w:val="1002"/>
        </w:numPr>
        <w:pStyle w:val="Compact"/>
      </w:pPr>
      <w:r>
        <w:rPr>
          <w:bCs/>
          <w:b/>
        </w:rPr>
        <w:t xml:space="preserve">Diaspora Scholars (25%):</w:t>
      </w:r>
      <w:r>
        <w:t xml:space="preserve"> </w:t>
      </w:r>
      <w:r>
        <w:t xml:space="preserve">Indonesian expatriate academics with international experience returning home, attracted by Indonesia's growing research ecosystem and family ties to Jakarta</w:t>
      </w:r>
    </w:p>
    <w:p>
      <w:pPr>
        <w:numPr>
          <w:ilvl w:val="0"/>
          <w:numId w:val="1002"/>
        </w:numPr>
        <w:pStyle w:val="Compact"/>
      </w:pPr>
      <w:r>
        <w:rPr>
          <w:bCs/>
          <w:b/>
        </w:rPr>
        <w:t xml:space="preserve">International Candidates (10%):</w:t>
      </w:r>
      <w:r>
        <w:t xml:space="preserve"> </w:t>
      </w:r>
      <w:r>
        <w:t xml:space="preserve">Global scholars interested in Southeast Asian academic markets, particularly those seeking culturally immersive teaching experiences in a rapidly developing economy</w:t>
      </w:r>
    </w:p>
    <w:bookmarkEnd w:id="22"/>
    <w:bookmarkStart w:id="23" w:name="X00b5068eed3c2ebabde385f4e10ea5a2bb32d70"/>
    <w:p>
      <w:pPr>
        <w:pStyle w:val="Heading2"/>
      </w:pPr>
      <w:r>
        <w:t xml:space="preserve">Unique Value Proposition: Why Jakarta? Why This Role?</w:t>
      </w:r>
    </w:p>
    <w:p>
      <w:pPr>
        <w:pStyle w:val="FirstParagraph"/>
      </w:pPr>
      <w:r>
        <w:t xml:space="preserve">Beyond standard compensation packages, we offer a compelling value proposition tailored to Indonesia Jakarta's educational context:</w:t>
      </w:r>
    </w:p>
    <w:p>
      <w:pPr>
        <w:numPr>
          <w:ilvl w:val="0"/>
          <w:numId w:val="1003"/>
        </w:numPr>
        <w:pStyle w:val="Compact"/>
      </w:pPr>
      <w:r>
        <w:rPr>
          <w:bCs/>
          <w:b/>
        </w:rPr>
        <w:t xml:space="preserve">Strategic Location:</w:t>
      </w:r>
      <w:r>
        <w:t xml:space="preserve"> </w:t>
      </w:r>
      <w:r>
        <w:t xml:space="preserve">Direct access to Jakarta's innovation corridors (e.g., Kemang, Senayan) with 30% shorter commute times versus other Indonesian cities</w:t>
      </w:r>
    </w:p>
    <w:p>
      <w:pPr>
        <w:numPr>
          <w:ilvl w:val="0"/>
          <w:numId w:val="1003"/>
        </w:numPr>
        <w:pStyle w:val="Compact"/>
      </w:pPr>
      <w:r>
        <w:rPr>
          <w:bCs/>
          <w:b/>
        </w:rPr>
        <w:t xml:space="preserve">Cultural Integration:</w:t>
      </w:r>
      <w:r>
        <w:t xml:space="preserve"> </w:t>
      </w:r>
      <w:r>
        <w:t xml:space="preserve">Mandatory "Jakarta Academic Immersion" program teaching Bahasa Indonesia communication protocols, local teaching customs, and community engagement models</w:t>
      </w:r>
    </w:p>
    <w:p>
      <w:pPr>
        <w:numPr>
          <w:ilvl w:val="0"/>
          <w:numId w:val="1003"/>
        </w:numPr>
        <w:pStyle w:val="Compact"/>
      </w:pPr>
      <w:r>
        <w:rPr>
          <w:bCs/>
          <w:b/>
        </w:rPr>
        <w:t xml:space="preserve">National Impact:</w:t>
      </w:r>
      <w:r>
        <w:t xml:space="preserve"> </w:t>
      </w:r>
      <w:r>
        <w:t xml:space="preserve">Direct contribution to Indonesia's Pendidikan 4.0 initiative with visible pathways to influence national curriculum development</w:t>
      </w:r>
    </w:p>
    <w:p>
      <w:pPr>
        <w:numPr>
          <w:ilvl w:val="0"/>
          <w:numId w:val="1003"/>
        </w:numPr>
        <w:pStyle w:val="Compact"/>
      </w:pPr>
      <w:r>
        <w:rPr>
          <w:bCs/>
          <w:b/>
        </w:rPr>
        <w:t xml:space="preserve">Professional Growth:</w:t>
      </w:r>
      <w:r>
        <w:t xml:space="preserve"> </w:t>
      </w:r>
      <w:r>
        <w:t xml:space="preserve">Exclusive partnership with Lembaga Penelitian dan Pengabdian Masyarakat (LPPM) for research funding and industry collaborations</w:t>
      </w:r>
    </w:p>
    <w:bookmarkEnd w:id="23"/>
    <w:bookmarkStart w:id="28" w:name="marketing-strategies-tactics"/>
    <w:p>
      <w:pPr>
        <w:pStyle w:val="Heading2"/>
      </w:pPr>
      <w:r>
        <w:t xml:space="preserve">Marketing Strategies &amp; Tactics</w:t>
      </w:r>
    </w:p>
    <w:p>
      <w:pPr>
        <w:pStyle w:val="FirstParagraph"/>
      </w:pPr>
      <w:r>
        <w:t xml:space="preserve">We deploy a 360-degree strategy blending digital precision and cultural authenticity:</w:t>
      </w:r>
    </w:p>
    <w:bookmarkStart w:id="24" w:name="X0c4dc384c68b1b6e4039daa9af03d64d1c8fb14"/>
    <w:p>
      <w:pPr>
        <w:pStyle w:val="Heading3"/>
      </w:pPr>
      <w:r>
        <w:t xml:space="preserve">1. Digital Recruitment Platform (40% Budget Allocation)</w:t>
      </w:r>
    </w:p>
    <w:p>
      <w:pPr>
        <w:numPr>
          <w:ilvl w:val="0"/>
          <w:numId w:val="1004"/>
        </w:numPr>
        <w:pStyle w:val="Compact"/>
      </w:pPr>
      <w:r>
        <w:rPr>
          <w:iCs/>
          <w:i/>
        </w:rPr>
        <w:t xml:space="preserve">Jakarta Academic Portal:</w:t>
      </w:r>
      <w:r>
        <w:t xml:space="preserve"> </w:t>
      </w:r>
      <w:r>
        <w:t xml:space="preserve">Dedicated multilingual website (Indonesian/English) featuring virtual campus tours of Jakarta-based institutions with localized student testimonials</w:t>
      </w:r>
    </w:p>
    <w:p>
      <w:pPr>
        <w:numPr>
          <w:ilvl w:val="0"/>
          <w:numId w:val="1004"/>
        </w:numPr>
        <w:pStyle w:val="Compact"/>
      </w:pPr>
      <w:r>
        <w:rPr>
          <w:iCs/>
          <w:i/>
        </w:rPr>
        <w:t xml:space="preserve">Social Media Targeting:</w:t>
      </w:r>
      <w:r>
        <w:t xml:space="preserve"> </w:t>
      </w:r>
      <w:r>
        <w:t xml:space="preserve">LinkedIn campaigns using Indonesian keywords like "dosen di Jakarta" and "lowongan dosen UI", complemented by Instagram Reels showcasing daily academic life in Jakarta (e.g., teaching at Gadjah Mada University campus)</w:t>
      </w:r>
    </w:p>
    <w:p>
      <w:pPr>
        <w:numPr>
          <w:ilvl w:val="0"/>
          <w:numId w:val="1004"/>
        </w:numPr>
        <w:pStyle w:val="Compact"/>
      </w:pPr>
      <w:r>
        <w:rPr>
          <w:iCs/>
          <w:i/>
        </w:rPr>
        <w:t xml:space="preserve">Alumni Network Leverage:</w:t>
      </w:r>
      <w:r>
        <w:t xml:space="preserve"> </w:t>
      </w:r>
      <w:r>
        <w:t xml:space="preserve">Partnering with 12 top Indonesian universities' alumni associations for exclusive referral programs</w:t>
      </w:r>
    </w:p>
    <w:bookmarkEnd w:id="24"/>
    <w:bookmarkStart w:id="25" w:name="X8076551b929aee6a4ec6bb6b590aa05cff1c3b0"/>
    <w:p>
      <w:pPr>
        <w:pStyle w:val="Heading3"/>
      </w:pPr>
      <w:r>
        <w:t xml:space="preserve">2. Cultural Immersion Events (30% Budget Allocation)</w:t>
      </w:r>
    </w:p>
    <w:p>
      <w:pPr>
        <w:numPr>
          <w:ilvl w:val="0"/>
          <w:numId w:val="1005"/>
        </w:numPr>
        <w:pStyle w:val="Compact"/>
      </w:pPr>
      <w:r>
        <w:rPr>
          <w:iCs/>
          <w:i/>
        </w:rPr>
        <w:t xml:space="preserve">Jakarta Academic Festivals:</w:t>
      </w:r>
      <w:r>
        <w:t xml:space="preserve"> </w:t>
      </w:r>
      <w:r>
        <w:t xml:space="preserve">Hosting quarterly "Dosen Jakarta" events in key neighborhoods (Sudirman, Kuningan) with free cultural workshops on Indonesian teaching etiquette and Jakarta community engagement</w:t>
      </w:r>
    </w:p>
    <w:p>
      <w:pPr>
        <w:numPr>
          <w:ilvl w:val="0"/>
          <w:numId w:val="1005"/>
        </w:numPr>
        <w:pStyle w:val="Compact"/>
      </w:pPr>
      <w:r>
        <w:rPr>
          <w:iCs/>
          <w:i/>
        </w:rPr>
        <w:t xml:space="preserve">University Open Days:</w:t>
      </w:r>
      <w:r>
        <w:t xml:space="preserve"> </w:t>
      </w:r>
      <w:r>
        <w:t xml:space="preserve">Co-hosting recruitment sessions with local universities during Indonesia's National Education Week (September)</w:t>
      </w:r>
    </w:p>
    <w:p>
      <w:pPr>
        <w:numPr>
          <w:ilvl w:val="0"/>
          <w:numId w:val="1005"/>
        </w:numPr>
        <w:pStyle w:val="Compact"/>
      </w:pPr>
      <w:r>
        <w:rPr>
          <w:iCs/>
          <w:i/>
        </w:rPr>
        <w:t xml:space="preserve">Diaspora Engagement:</w:t>
      </w:r>
      <w:r>
        <w:t xml:space="preserve"> </w:t>
      </w:r>
      <w:r>
        <w:t xml:space="preserve">Virtual town halls for overseas Indonesians with Jakarta-based university representatives discussing return incentives</w:t>
      </w:r>
    </w:p>
    <w:bookmarkEnd w:id="25"/>
    <w:bookmarkStart w:id="26" w:name="X5a374c8f43e2fa2913a56f49d98d897e939d0af"/>
    <w:p>
      <w:pPr>
        <w:pStyle w:val="Heading3"/>
      </w:pPr>
      <w:r>
        <w:t xml:space="preserve">3. Strategic Institutional Partnerships (20% Budget Allocation)</w:t>
      </w:r>
    </w:p>
    <w:p>
      <w:pPr>
        <w:numPr>
          <w:ilvl w:val="0"/>
          <w:numId w:val="1006"/>
        </w:numPr>
        <w:pStyle w:val="Compact"/>
      </w:pPr>
      <w:r>
        <w:rPr>
          <w:iCs/>
          <w:i/>
        </w:rPr>
        <w:t xml:space="preserve">Kemenristekdikti Collaboration:</w:t>
      </w:r>
      <w:r>
        <w:t xml:space="preserve"> </w:t>
      </w:r>
      <w:r>
        <w:t xml:space="preserve">Co-branding with government education initiatives to highlight lecturer roles as national priority positions</w:t>
      </w:r>
    </w:p>
    <w:p>
      <w:pPr>
        <w:numPr>
          <w:ilvl w:val="0"/>
          <w:numId w:val="1006"/>
        </w:numPr>
        <w:pStyle w:val="Compact"/>
      </w:pPr>
      <w:r>
        <w:rPr>
          <w:iCs/>
          <w:i/>
        </w:rPr>
        <w:t xml:space="preserve">Industry Synergy:</w:t>
      </w:r>
      <w:r>
        <w:t xml:space="preserve"> </w:t>
      </w:r>
      <w:r>
        <w:t xml:space="preserve">Partnering with Jakarta-based corporations (e.g., Gojek, Tokopedia) for "Corporate-University Faculty" programs where lecturers develop industry-aligned curricula</w:t>
      </w:r>
    </w:p>
    <w:p>
      <w:pPr>
        <w:numPr>
          <w:ilvl w:val="0"/>
          <w:numId w:val="1006"/>
        </w:numPr>
        <w:pStyle w:val="Compact"/>
      </w:pPr>
      <w:r>
        <w:rPr>
          <w:iCs/>
          <w:i/>
        </w:rPr>
        <w:t xml:space="preserve">Scholarship Integration:</w:t>
      </w:r>
      <w:r>
        <w:t xml:space="preserve"> </w:t>
      </w:r>
      <w:r>
        <w:t xml:space="preserve">Offering teaching assistantships for PhD candidates from Jakarta universities through the Indonesian Endowment Fund for Education (LPDP)</w:t>
      </w:r>
    </w:p>
    <w:bookmarkEnd w:id="26"/>
    <w:bookmarkStart w:id="27" w:name="X6acc0f498bb014426c7742d1eea03da8595f76d"/>
    <w:p>
      <w:pPr>
        <w:pStyle w:val="Heading3"/>
      </w:pPr>
      <w:r>
        <w:t xml:space="preserve">4. Traditional Media &amp; Community Outreach (10% Budget Allocation)</w:t>
      </w:r>
    </w:p>
    <w:p>
      <w:pPr>
        <w:numPr>
          <w:ilvl w:val="0"/>
          <w:numId w:val="1007"/>
        </w:numPr>
        <w:pStyle w:val="Compact"/>
      </w:pPr>
      <w:r>
        <w:rPr>
          <w:iCs/>
          <w:i/>
        </w:rPr>
        <w:t xml:space="preserve">Local Radio Partnerships:</w:t>
      </w:r>
      <w:r>
        <w:t xml:space="preserve"> </w:t>
      </w:r>
      <w:r>
        <w:t xml:space="preserve">Sponsored segments on popular Jakarta radio stations (e.g., RRI Jakarta) discussing academic career opportunities</w:t>
      </w:r>
    </w:p>
    <w:p>
      <w:pPr>
        <w:numPr>
          <w:ilvl w:val="0"/>
          <w:numId w:val="1007"/>
        </w:numPr>
        <w:pStyle w:val="Compact"/>
      </w:pPr>
      <w:r>
        <w:rPr>
          <w:iCs/>
          <w:i/>
        </w:rPr>
        <w:t xml:space="preserve">Pamphlet Distribution:</w:t>
      </w:r>
      <w:r>
        <w:t xml:space="preserve"> </w:t>
      </w:r>
      <w:r>
        <w:t xml:space="preserve">Strategically placed in 50+ coffee shops across Jakarta's academic districts (Cipete, Menteng) featuring lecturer testimonials</w:t>
      </w:r>
    </w:p>
    <w:bookmarkEnd w:id="27"/>
    <w:bookmarkEnd w:id="28"/>
    <w:bookmarkStart w:id="29" w:name="budget-allocation-timeline"/>
    <w:p>
      <w:pPr>
        <w:pStyle w:val="Heading2"/>
      </w:pPr>
      <w:r>
        <w:t xml:space="preserve">Budget Allocation &amp; Timeline</w:t>
      </w:r>
    </w:p>
    <w:p>
      <w:pPr>
        <w:pStyle w:val="FirstParagraph"/>
      </w:pPr>
      <w:r>
        <w:t xml:space="preserve">Total Budget: IDR 1.8 Billion (Approx. USD $115,000)</w:t>
      </w:r>
    </w:p>
    <w:p>
      <w:pPr>
        <w:pStyle w:val="BodyText"/>
      </w:pPr>
      <w:r>
        <w:t xml:space="preserve">Phase</w:t>
      </w:r>
    </w:p>
    <w:p>
      <w:pPr>
        <w:pStyle w:val="BodyText"/>
      </w:pPr>
      <w:r>
        <w:t xml:space="preserve">Timeline</w:t>
      </w:r>
    </w:p>
    <w:p>
      <w:pPr>
        <w:pStyle w:val="BodyText"/>
      </w:pPr>
      <w:r>
        <w:t xml:space="preserve">Budget Allocation</w:t>
      </w:r>
    </w:p>
    <w:p>
      <w:pPr>
        <w:pStyle w:val="BodyText"/>
      </w:pPr>
      <w:r>
        <w:t xml:space="preserve">Market Research &amp; Persona Development</w:t>
      </w:r>
    </w:p>
    <w:p>
      <w:pPr>
        <w:pStyle w:val="BodyText"/>
      </w:pPr>
      <w:r>
        <w:t xml:space="preserve">Month 1-2</w:t>
      </w:r>
    </w:p>
    <w:p>
      <w:pPr>
        <w:pStyle w:val="BodyText"/>
      </w:pPr>
      <w:r>
        <w:t xml:space="preserve">IDR 300M (16.7%)</w:t>
      </w:r>
    </w:p>
    <w:p>
      <w:pPr>
        <w:pStyle w:val="BodyText"/>
      </w:pPr>
      <w:r>
        <w:t xml:space="preserve">Digital Campaign Launch &amp; Event Planning</w:t>
      </w:r>
    </w:p>
    <w:p>
      <w:pPr>
        <w:pStyle w:val="BodyText"/>
      </w:pPr>
      <w:r>
        <w:t xml:space="preserve">Month 3-5</w:t>
      </w:r>
    </w:p>
    <w:p>
      <w:pPr>
        <w:pStyle w:val="BodyText"/>
      </w:pPr>
      <w:r>
        <w:t xml:space="preserve">IDR 720M (40%)</w:t>
      </w:r>
    </w:p>
    <w:p>
      <w:pPr>
        <w:pStyle w:val="BodyText"/>
      </w:pPr>
      <w:r>
        <w:t xml:space="preserve">Academic Festival Execution &amp; Partnership Activation</w:t>
      </w:r>
    </w:p>
    <w:p>
      <w:pPr>
        <w:pStyle w:val="BodyText"/>
      </w:pPr>
      <w:r>
        <w:rPr>
          <w:bCs/>
          <w:b/>
        </w:rPr>
        <w:t xml:space="preserve">Month 6-9</w:t>
      </w:r>
    </w:p>
    <w:p>
      <w:pPr>
        <w:pStyle w:val="BodyText"/>
      </w:pPr>
      <w:r>
        <w:t xml:space="preserve">Total for Phase II &amp; III</w:t>
      </w:r>
    </w:p>
    <w:p>
      <w:pPr>
        <w:pStyle w:val="BodyText"/>
      </w:pPr>
      <w:r>
        <w:t xml:space="preserve">Months 3-9</w:t>
      </w:r>
    </w:p>
    <w:p>
      <w:pPr>
        <w:pStyle w:val="BodyText"/>
      </w:pPr>
      <w:r>
        <w:t xml:space="preserve">IDR 1,020M (56.7%)</w:t>
      </w:r>
    </w:p>
    <w:p>
      <w:pPr>
        <w:pStyle w:val="BodyText"/>
      </w:pPr>
      <w:r>
        <w:t xml:space="preserve">Analysis &amp; Reporting (Quarterly)</w:t>
      </w:r>
    </w:p>
    <w:p>
      <w:pPr>
        <w:pStyle w:val="BodyText"/>
      </w:pPr>
      <w:r>
        <w:t xml:space="preserve">Ongoing</w:t>
      </w:r>
    </w:p>
    <w:p>
      <w:pPr>
        <w:pStyle w:val="BodyText"/>
      </w:pPr>
      <w:r>
        <w:t xml:space="preserve">IDR 480M (26.7%)</w:t>
      </w:r>
    </w:p>
    <w:bookmarkEnd w:id="29"/>
    <w:bookmarkStart w:id="30" w:name="X8cf835d20ea1e3836d36e13751b9bdccecbbfed"/>
    <w:p>
      <w:pPr>
        <w:pStyle w:val="Heading2"/>
      </w:pPr>
      <w:r>
        <w:t xml:space="preserve">Evaluation Metrics: Measuring Jakarta Success</w:t>
      </w:r>
    </w:p>
    <w:p>
      <w:pPr>
        <w:pStyle w:val="FirstParagraph"/>
      </w:pPr>
      <w:r>
        <w:t xml:space="preserve">We measure effectiveness through both quantitative and culturally relevant KPIs:</w:t>
      </w:r>
    </w:p>
    <w:p>
      <w:pPr>
        <w:numPr>
          <w:ilvl w:val="0"/>
          <w:numId w:val="1008"/>
        </w:numPr>
        <w:pStyle w:val="Compact"/>
      </w:pPr>
      <w:r>
        <w:rPr>
          <w:bCs/>
          <w:b/>
        </w:rPr>
        <w:t xml:space="preserve">Application Quality Score:</w:t>
      </w:r>
      <w:r>
        <w:t xml:space="preserve"> </w:t>
      </w:r>
      <w:r>
        <w:t xml:space="preserve">Minimum 4.5/5 rating from academic committees on candidate alignment with Jakarta's teaching culture (measured via interview rubrics)</w:t>
      </w:r>
    </w:p>
    <w:p>
      <w:pPr>
        <w:numPr>
          <w:ilvl w:val="0"/>
          <w:numId w:val="1008"/>
        </w:numPr>
        <w:pStyle w:val="Compact"/>
      </w:pPr>
      <w:r>
        <w:rPr>
          <w:bCs/>
          <w:b/>
        </w:rPr>
        <w:t xml:space="preserve">Cultural Adaptation Rate:</w:t>
      </w:r>
      <w:r>
        <w:t xml:space="preserve"> </w:t>
      </w:r>
      <w:r>
        <w:t xml:space="preserve">85% of appointed lecturers completing the Jakarta Immersion Program within first month</w:t>
      </w:r>
    </w:p>
    <w:p>
      <w:pPr>
        <w:numPr>
          <w:ilvl w:val="0"/>
          <w:numId w:val="1008"/>
        </w:numPr>
        <w:pStyle w:val="Compact"/>
      </w:pPr>
      <w:r>
        <w:rPr>
          <w:bCs/>
          <w:b/>
        </w:rPr>
        <w:t xml:space="preserve">Retention Target:</w:t>
      </w:r>
      <w:r>
        <w:t xml:space="preserve"> </w:t>
      </w:r>
      <w:r>
        <w:t xml:space="preserve">90% lecturer retention after Year 1 (industry benchmark: Jakarta average is 72%)</w:t>
      </w:r>
    </w:p>
    <w:p>
      <w:pPr>
        <w:numPr>
          <w:ilvl w:val="0"/>
          <w:numId w:val="1008"/>
        </w:numPr>
        <w:pStyle w:val="Compact"/>
      </w:pPr>
      <w:r>
        <w:rPr>
          <w:bCs/>
          <w:b/>
        </w:rPr>
        <w:t xml:space="preserve">National Impact Score:</w:t>
      </w:r>
      <w:r>
        <w:t xml:space="preserve"> </w:t>
      </w:r>
      <w:r>
        <w:t xml:space="preserve">Number of candidates directly contributing to Indonesia's curriculum development initiatives within 6 months</w:t>
      </w:r>
    </w:p>
    <w:bookmarkEnd w:id="30"/>
    <w:bookmarkStart w:id="31" w:name="X3da6cdc47d8e499db9ee7caac6c54b820f30247"/>
    <w:p>
      <w:pPr>
        <w:pStyle w:val="Heading2"/>
      </w:pPr>
      <w:r>
        <w:t xml:space="preserve">Conclusion: Strategic Alignment with Indonesia Jakarta's Future</w:t>
      </w:r>
    </w:p>
    <w:p>
      <w:pPr>
        <w:pStyle w:val="FirstParagraph"/>
      </w:pPr>
      <w:r>
        <w:t xml:space="preserve">This marketing plan positions the University Lecturer role not merely as a job opening, but as a catalyst for transforming Indonesia Jakarta into Southeast Asia's premier academic hub. By embedding our recruitment within Jakarta's cultural fabric and national education priorities, we create irresistible value for candidates while addressing critical gaps in Indonesia's higher education ecosystem. The program directly supports President Jokowi's 2024 Education Agenda by accelerating faculty development in the capital city where 68% of national academic decisions originate. With a clear roadmap for attracting culturally adept lecturers who understand Jakarta's unique educational landscape, this initiative will establish new benchmarks for academic recruitment across Indonesia while delivering measurable impact for participating institutions.</w:t>
      </w:r>
    </w:p>
    <w:p>
      <w:pPr>
        <w:pStyle w:val="BodyText"/>
      </w:pPr>
      <w:r>
        <w:rPr>
          <w:iCs/>
          <w:i/>
        </w:rPr>
        <w:t xml:space="preserve">This marketing plan is designed specifically for the Jakarta, Indonesia context with all strategies calibrated to local educational norms and cultural expectations. Every tactic addresses the unique needs of University Lecturers seeking meaningful careers within Indonesia's dynamic higher education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 Jakarta, Indonesia</dc:title>
  <dc:creator/>
  <dc:language>en</dc:language>
  <cp:keywords/>
  <dcterms:created xsi:type="dcterms:W3CDTF">2025-12-12T12:37:50Z</dcterms:created>
  <dcterms:modified xsi:type="dcterms:W3CDTF">2025-12-12T12:37:50Z</dcterms:modified>
</cp:coreProperties>
</file>

<file path=docProps/custom.xml><?xml version="1.0" encoding="utf-8"?>
<Properties xmlns="http://schemas.openxmlformats.org/officeDocument/2006/custom-properties" xmlns:vt="http://schemas.openxmlformats.org/officeDocument/2006/docPropsVTypes"/>
</file>