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29" w:name="Xe3d68e497fd2d9b4e8acf680d66f932183d768f"/>
    <w:p>
      <w:pPr>
        <w:pStyle w:val="Heading1"/>
      </w:pPr>
      <w:r>
        <w:t xml:space="preserve">Comprehensive Marketing Plan for Attracting and Retaining University Lecturers in Tehran, Iran</w:t>
      </w:r>
    </w:p>
    <w:bookmarkStart w:id="20" w:name="executive-summary"/>
    <w:p>
      <w:pPr>
        <w:pStyle w:val="Heading2"/>
      </w:pPr>
      <w:r>
        <w:t xml:space="preserve">Executive Summary</w:t>
      </w:r>
    </w:p>
    <w:p>
      <w:pPr>
        <w:pStyle w:val="FirstParagraph"/>
      </w:pPr>
      <w:r>
        <w:t xml:space="preserve">This Marketing Plan outlines a strategic approach to recruit, engage, and retain high-caliber University Lecturers for institutions across Tehran, Iran. With Tehran serving as the epicenter of higher education in Iran—hosting over 80% of the nation's universities and accommodating more than 5 million students—the demand for skilled academic professionals is unprecedented. This plan directly addresses critical faculty shortages in STEM, engineering, and humanities fields while aligning with Iran’s national educational goals under the Ministry of Science. By implementing culturally nuanced marketing tactics tailored to Tehran's academic ecosystem, this strategy ensures a sustainable pipeline of University Lecturers who will elevate institutional excellence in one of the Middle East’s most dynamic educational hubs.</w:t>
      </w:r>
    </w:p>
    <w:bookmarkEnd w:id="20"/>
    <w:bookmarkStart w:id="21" w:name="X2d9de7845c06b02dd96327132c09c9b75b3cf0a"/>
    <w:p>
      <w:pPr>
        <w:pStyle w:val="Heading2"/>
      </w:pPr>
      <w:r>
        <w:t xml:space="preserve">Market Analysis: Iran Tehran Higher Education Landscape</w:t>
      </w:r>
    </w:p>
    <w:p>
      <w:pPr>
        <w:pStyle w:val="FirstParagraph"/>
      </w:pPr>
      <w:r>
        <w:t xml:space="preserve">Tehran’s university sector faces acute challenges: a 15% annual growth in student enrollment (Ministry of Science, 2023) coupled with a 30% lecturer vacancy rate in technical disciplines. Iranian universities prioritize locally accredited PhDs (e.g., from Sharif University or Amirkabir University) and Persian fluency over international credentials. Crucially, the target market for this Marketing Plan includes two primary segments:</w:t>
      </w:r>
    </w:p>
    <w:p>
      <w:pPr>
        <w:numPr>
          <w:ilvl w:val="0"/>
          <w:numId w:val="1001"/>
        </w:numPr>
        <w:pStyle w:val="Compact"/>
      </w:pPr>
      <w:r>
        <w:rPr>
          <w:bCs/>
          <w:b/>
        </w:rPr>
        <w:t xml:space="preserve">Domestic Talent:</w:t>
      </w:r>
      <w:r>
        <w:t xml:space="preserve"> </w:t>
      </w:r>
      <w:r>
        <w:t xml:space="preserve">Iranian PhD graduates seeking academic roles with competitive tenure tracks.</w:t>
      </w:r>
    </w:p>
    <w:p>
      <w:pPr>
        <w:numPr>
          <w:ilvl w:val="0"/>
          <w:numId w:val="1001"/>
        </w:numPr>
        <w:pStyle w:val="Compact"/>
      </w:pPr>
      <w:r>
        <w:rPr>
          <w:bCs/>
          <w:b/>
        </w:rPr>
        <w:t xml:space="preserve">International Candidates:</w:t>
      </w:r>
      <w:r>
        <w:t xml:space="preserve"> </w:t>
      </w:r>
      <w:r>
        <w:t xml:space="preserve">Expatriate scholars (primarily from Pakistan, Turkey, and Gulf nations) with Iran-specific experience.</w:t>
      </w:r>
    </w:p>
    <w:p>
      <w:pPr>
        <w:pStyle w:val="FirstParagraph"/>
      </w:pPr>
      <w:r>
        <w:t xml:space="preserve">Cultural factors dominate decision-making: job security, social standing in Tehran’s academic community, and proximity to family networks are as vital as salary. The plan acknowledges Tehran's unique context—where university lecturers are respected civic figures whose influence extends beyond classrooms into national policy discourse.</w:t>
      </w:r>
    </w:p>
    <w:bookmarkEnd w:id="21"/>
    <w:bookmarkStart w:id="25" w:name="X322b391ac33ac9abb4f90a8be23df302be74e85"/>
    <w:p>
      <w:pPr>
        <w:pStyle w:val="Heading2"/>
      </w:pPr>
      <w:r>
        <w:t xml:space="preserve">Core Marketing Strategy: Targeting Iran Tehran's Academic Ecosystem</w:t>
      </w:r>
    </w:p>
    <w:p>
      <w:pPr>
        <w:pStyle w:val="FirstParagraph"/>
      </w:pPr>
      <w:r>
        <w:t xml:space="preserve">This Marketing Plan centers on three pillars designed for Iran’s educational landscape:</w:t>
      </w:r>
    </w:p>
    <w:bookmarkStart w:id="22" w:name="Xc15f10b4c0e78d8f61af97b94a39e6dfc71c755"/>
    <w:p>
      <w:pPr>
        <w:pStyle w:val="Heading3"/>
      </w:pPr>
      <w:r>
        <w:t xml:space="preserve">1. Culturally Resonant Recruitment Campaigns</w:t>
      </w:r>
    </w:p>
    <w:p>
      <w:pPr>
        <w:pStyle w:val="FirstParagraph"/>
      </w:pPr>
      <w:r>
        <w:t xml:space="preserve">We leverage Tehran-centric communication channels:</w:t>
      </w:r>
    </w:p>
    <w:p>
      <w:pPr>
        <w:numPr>
          <w:ilvl w:val="0"/>
          <w:numId w:val="1002"/>
        </w:numPr>
        <w:pStyle w:val="Compact"/>
      </w:pPr>
      <w:r>
        <w:rPr>
          <w:bCs/>
          <w:b/>
        </w:rPr>
        <w:t xml:space="preserve">Localized Digital Platforms:</w:t>
      </w:r>
      <w:r>
        <w:t xml:space="preserve"> </w:t>
      </w:r>
      <w:r>
        <w:t xml:space="preserve">Partner with Iranian job portals (Karir, Elance.ir) and academic networks (e.g., Iran University Association) for targeted ads emphasizing "University Lecturer" roles with local benefits like subsidized housing in Tehran suburbs (e.g., Velenjak, Shemiran).</w:t>
      </w:r>
    </w:p>
    <w:p>
      <w:pPr>
        <w:numPr>
          <w:ilvl w:val="0"/>
          <w:numId w:val="1002"/>
        </w:numPr>
        <w:pStyle w:val="Compact"/>
      </w:pPr>
      <w:r>
        <w:rPr>
          <w:bCs/>
          <w:b/>
        </w:rPr>
        <w:t xml:space="preserve">Community Engagement:</w:t>
      </w:r>
      <w:r>
        <w:t xml:space="preserve"> </w:t>
      </w:r>
      <w:r>
        <w:t xml:space="preserve">Host annual "Academic Excellence Forums" at Tehran universities (e.g., Shahid Beheshti University) to showcase faculty success stories, directly linking lecturer contributions to Iran’s scientific advancement goals.</w:t>
      </w:r>
    </w:p>
    <w:p>
      <w:pPr>
        <w:numPr>
          <w:ilvl w:val="0"/>
          <w:numId w:val="1002"/>
        </w:numPr>
        <w:pStyle w:val="Compact"/>
      </w:pPr>
      <w:r>
        <w:rPr>
          <w:bCs/>
          <w:b/>
        </w:rPr>
        <w:t xml:space="preserve">Religious &amp; Social Alignment:</w:t>
      </w:r>
      <w:r>
        <w:t xml:space="preserve"> </w:t>
      </w:r>
      <w:r>
        <w:t xml:space="preserve">Messaging highlights how University Lecturers in Tehran contribute to national values—e.g., "Shape Iran’s Future Through Teaching" with references to the Ministry of Science's 2030 education roadmap.</w:t>
      </w:r>
    </w:p>
    <w:bookmarkEnd w:id="22"/>
    <w:bookmarkStart w:id="23" w:name="Xa5097b4e226fc0835f6bdd795dd9cc1f8342e35"/>
    <w:p>
      <w:pPr>
        <w:pStyle w:val="Heading3"/>
      </w:pPr>
      <w:r>
        <w:t xml:space="preserve">2. Competitive Value Proposition for University Lecturers</w:t>
      </w:r>
    </w:p>
    <w:p>
      <w:pPr>
        <w:pStyle w:val="FirstParagraph"/>
      </w:pPr>
      <w:r>
        <w:t xml:space="preserve">Positioning Tehran as the premier destination for academic careers requires addressing Iran-specific priorities:</w:t>
      </w:r>
    </w:p>
    <w:p>
      <w:pPr>
        <w:numPr>
          <w:ilvl w:val="0"/>
          <w:numId w:val="1003"/>
        </w:numPr>
        <w:pStyle w:val="Compact"/>
      </w:pPr>
      <w:r>
        <w:rPr>
          <w:bCs/>
          <w:b/>
        </w:rPr>
        <w:t xml:space="preserve">Financial Incentives:</w:t>
      </w:r>
      <w:r>
        <w:t xml:space="preserve"> </w:t>
      </w:r>
      <w:r>
        <w:t xml:space="preserve">Salary packages exceed national averages by 25% + Tehran-based allowances (e.g., 10% city premium, university housing access). All benefits comply with Iran’s Labor Code and Ministry of Science guidelines.</w:t>
      </w:r>
    </w:p>
    <w:p>
      <w:pPr>
        <w:numPr>
          <w:ilvl w:val="0"/>
          <w:numId w:val="1003"/>
        </w:numPr>
        <w:pStyle w:val="Compact"/>
      </w:pPr>
      <w:r>
        <w:rPr>
          <w:bCs/>
          <w:b/>
        </w:rPr>
        <w:t xml:space="preserve">Career Acceleration:</w:t>
      </w:r>
      <w:r>
        <w:t xml:space="preserve"> </w:t>
      </w:r>
      <w:r>
        <w:t xml:space="preserve">"Tehran Faculty Pathway" program offering rapid promotion to Professor status for lecturers publishing in Iranian journals (e.g., ISC-indexed publications).</w:t>
      </w:r>
    </w:p>
    <w:p>
      <w:pPr>
        <w:numPr>
          <w:ilvl w:val="0"/>
          <w:numId w:val="1003"/>
        </w:numPr>
        <w:pStyle w:val="Compact"/>
      </w:pPr>
      <w:r>
        <w:rPr>
          <w:bCs/>
          <w:b/>
        </w:rPr>
        <w:t xml:space="preserve">Social Integration:</w:t>
      </w:r>
      <w:r>
        <w:t xml:space="preserve"> </w:t>
      </w:r>
      <w:r>
        <w:t xml:space="preserve">Dedicated Tehran community networks (e.g., "Tehran Academia Circle") for family support, Persian language coaching, and cultural orientation—critical for international candidates.</w:t>
      </w:r>
    </w:p>
    <w:bookmarkEnd w:id="23"/>
    <w:bookmarkStart w:id="24" w:name="retention-through-institutional-branding"/>
    <w:p>
      <w:pPr>
        <w:pStyle w:val="Heading3"/>
      </w:pPr>
      <w:r>
        <w:t xml:space="preserve">3. Retention through Institutional Branding</w:t>
      </w:r>
    </w:p>
    <w:p>
      <w:pPr>
        <w:pStyle w:val="FirstParagraph"/>
      </w:pPr>
      <w:r>
        <w:t xml:space="preserve">A University Lecturer’s reputation in Tehran directly impacts university rankings. This Marketing Plan integrates retention into recruitment:</w:t>
      </w:r>
    </w:p>
    <w:p>
      <w:pPr>
        <w:numPr>
          <w:ilvl w:val="0"/>
          <w:numId w:val="1004"/>
        </w:numPr>
        <w:pStyle w:val="Compact"/>
      </w:pPr>
      <w:r>
        <w:rPr>
          <w:bCs/>
          <w:b/>
        </w:rPr>
        <w:t xml:space="preserve">Brand Identity:</w:t>
      </w:r>
      <w:r>
        <w:t xml:space="preserve"> </w:t>
      </w:r>
      <w:r>
        <w:t xml:space="preserve">Co-branded "Tehran Lecturer of Excellence" awards sponsored by top universities (e.g., Tarbiat Modares), enhancing prestige within Iran’s academic circles.</w:t>
      </w:r>
    </w:p>
    <w:p>
      <w:pPr>
        <w:numPr>
          <w:ilvl w:val="0"/>
          <w:numId w:val="1004"/>
        </w:numPr>
        <w:pStyle w:val="Compact"/>
      </w:pPr>
      <w:r>
        <w:rPr>
          <w:bCs/>
          <w:b/>
        </w:rPr>
        <w:t xml:space="preserve">Professional Development:</w:t>
      </w:r>
      <w:r>
        <w:t xml:space="preserve"> </w:t>
      </w:r>
      <w:r>
        <w:t xml:space="preserve">Partnerships with Tehran-based research centers (e.g., Institute for Research in Fundamental Sciences) for lecturer-led workshops on Iranian regulatory frameworks.</w:t>
      </w:r>
    </w:p>
    <w:p>
      <w:pPr>
        <w:numPr>
          <w:ilvl w:val="0"/>
          <w:numId w:val="1004"/>
        </w:numPr>
        <w:pStyle w:val="Compact"/>
      </w:pPr>
      <w:r>
        <w:rPr>
          <w:bCs/>
          <w:b/>
        </w:rPr>
        <w:t xml:space="preserve">Community Impact:</w:t>
      </w:r>
      <w:r>
        <w:t xml:space="preserve"> </w:t>
      </w:r>
      <w:r>
        <w:t xml:space="preserve">Showcase lecturers’ roles in Tehran civic initiatives—e.g., "Lecturer-Driven STEM Outreach" programs targeting schools in Tehran’s underserved districts.</w:t>
      </w:r>
    </w:p>
    <w:bookmarkEnd w:id="24"/>
    <w:bookmarkEnd w:id="25"/>
    <w:bookmarkStart w:id="26" w:name="tehran-specific-implementation-timeline"/>
    <w:p>
      <w:pPr>
        <w:pStyle w:val="Heading2"/>
      </w:pPr>
      <w:r>
        <w:t xml:space="preserve">Tehran-Specific Implementation Timeline</w:t>
      </w:r>
    </w:p>
    <w:p>
      <w:pPr>
        <w:pStyle w:val="FirstParagraph"/>
      </w:pPr>
      <w:r>
        <w:t xml:space="preserve">This Marketing Plan is executed across three phases, anchored in Iran’s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(Tehran Time)</w:t>
            </w:r>
          </w:p>
        </w:tc>
        <w:tc>
          <w:tcPr/>
          <w:p>
            <w:pPr>
              <w:pStyle w:val="Compact"/>
              <w:jc w:val="left"/>
            </w:pPr>
            <w:r>
              <w:t xml:space="preserve">Key Actions</w:t>
            </w:r>
          </w:p>
        </w:tc>
      </w:tr>
      <w:tr>
        <w:tc>
          <w:tcPr/>
          <w:p>
            <w:pPr>
              <w:pStyle w:val="Compact"/>
              <w:jc w:val="left"/>
            </w:pPr>
            <w:r>
              <w:t xml:space="preserve">Market Assessment &amp; Partner Onboarding</w:t>
            </w:r>
          </w:p>
        </w:tc>
        <w:tc>
          <w:tcPr/>
          <w:p>
            <w:pPr>
              <w:pStyle w:val="Compact"/>
              <w:jc w:val="left"/>
            </w:pPr>
            <w:r>
              <w:t xml:space="preserve">Month 1-2 (Sept-Oct 2024)</w:t>
            </w:r>
          </w:p>
        </w:tc>
        <w:tc>
          <w:tcPr/>
          <w:p>
            <w:pPr>
              <w:pStyle w:val="Compact"/>
              <w:jc w:val="left"/>
            </w:pPr>
            <w:r>
              <w:t xml:space="preserve">Negotiate with Tehran universities (Sharif, Imam Khomeini) for recruitment access; finalize Ministry of Science compliance.</w:t>
            </w:r>
          </w:p>
        </w:tc>
      </w:tr>
      <w:tr>
        <w:tc>
          <w:tcPr/>
          <w:p>
            <w:pPr>
              <w:pStyle w:val="Compact"/>
              <w:jc w:val="left"/>
            </w:pPr>
            <w:r>
              <w:t xml:space="preserve">Launch Campaign</w:t>
            </w:r>
          </w:p>
        </w:tc>
        <w:tc>
          <w:tcPr/>
          <w:p>
            <w:pPr>
              <w:pStyle w:val="Compact"/>
              <w:jc w:val="left"/>
            </w:pPr>
            <w:r>
              <w:t xml:space="preserve">Month 3-5 (Nov-Jan 2025)</w:t>
            </w:r>
          </w:p>
        </w:tc>
        <w:tc>
          <w:tcPr/>
          <w:p>
            <w:pPr>
              <w:pStyle w:val="Compact"/>
              <w:jc w:val="left"/>
            </w:pPr>
            <w:r>
              <w:t xml:space="preserve">Roll out bilingual (Persian/English) digital ads; host Tehran Academic Forum at University of Tehran.</w:t>
            </w:r>
          </w:p>
        </w:tc>
      </w:tr>
      <w:tr>
        <w:tc>
          <w:tcPr/>
          <w:p>
            <w:pPr>
              <w:pStyle w:val="Compact"/>
              <w:jc w:val="left"/>
            </w:pPr>
            <w:r>
              <w:t xml:space="preserve">Retention Activation</w:t>
            </w:r>
          </w:p>
        </w:tc>
        <w:tc>
          <w:tcPr/>
          <w:p>
            <w:pPr>
              <w:pStyle w:val="Compact"/>
              <w:jc w:val="left"/>
            </w:pPr>
            <w:r>
              <w:t xml:space="preserve">Ongoing (Month 6+)</w:t>
            </w:r>
          </w:p>
        </w:tc>
        <w:tc>
          <w:tcPr/>
          <w:p>
            <w:pPr>
              <w:pStyle w:val="Compact"/>
              <w:jc w:val="left"/>
            </w:pPr>
            <w:r>
              <w:t xml:space="preserve">Deploy "Tehran Lecturer Network"; initiate award program; quarterly impact reports to universities.</w:t>
            </w:r>
          </w:p>
        </w:tc>
      </w:tr>
    </w:tbl>
    <w:bookmarkEnd w:id="26"/>
    <w:bookmarkStart w:id="27" w:name="budget-allocation-roi-metrics"/>
    <w:p>
      <w:pPr>
        <w:pStyle w:val="Heading2"/>
      </w:pPr>
      <w:r>
        <w:t xml:space="preserve">Budget Allocation &amp; ROI Metrics</w:t>
      </w:r>
    </w:p>
    <w:p>
      <w:pPr>
        <w:pStyle w:val="FirstParagraph"/>
      </w:pPr>
      <w:r>
        <w:t xml:space="preserve">Investment of $150,000 for Year 1 focuses on Tehran’s unique needs:</w:t>
      </w:r>
    </w:p>
    <w:p>
      <w:pPr>
        <w:numPr>
          <w:ilvl w:val="0"/>
          <w:numId w:val="1005"/>
        </w:numPr>
        <w:pStyle w:val="Compact"/>
      </w:pPr>
      <w:r>
        <w:rPr>
          <w:bCs/>
          <w:b/>
        </w:rPr>
        <w:t xml:space="preserve">65%:</w:t>
      </w:r>
      <w:r>
        <w:t xml:space="preserve"> </w:t>
      </w:r>
      <w:r>
        <w:t xml:space="preserve">Digital campaigns via Iranian platforms (e.g., Instagram ads targeting academic hashtags like #دانشگاه_تهران)</w:t>
      </w:r>
    </w:p>
    <w:p>
      <w:pPr>
        <w:numPr>
          <w:ilvl w:val="0"/>
          <w:numId w:val="1005"/>
        </w:numPr>
        <w:pStyle w:val="Compact"/>
      </w:pPr>
      <w:r>
        <w:rPr>
          <w:bCs/>
          <w:b/>
        </w:rPr>
        <w:t xml:space="preserve">25%:</w:t>
      </w:r>
      <w:r>
        <w:t xml:space="preserve"> </w:t>
      </w:r>
      <w:r>
        <w:t xml:space="preserve">Event logistics for Tehran-based forums and networking</w:t>
      </w:r>
    </w:p>
    <w:p>
      <w:pPr>
        <w:numPr>
          <w:ilvl w:val="0"/>
          <w:numId w:val="1005"/>
        </w:numPr>
        <w:pStyle w:val="Compact"/>
      </w:pPr>
      <w:r>
        <w:rPr>
          <w:bCs/>
          <w:b/>
        </w:rPr>
        <w:t xml:space="preserve">10%:</w:t>
      </w:r>
      <w:r>
        <w:t xml:space="preserve"> </w:t>
      </w:r>
      <w:r>
        <w:t xml:space="preserve">Content creation in Persian for social media, emphasizing "University Lecturer" career growth.</w:t>
      </w:r>
    </w:p>
    <w:p>
      <w:pPr>
        <w:pStyle w:val="FirstParagraph"/>
      </w:pPr>
      <w:r>
        <w:t xml:space="preserve">Measurable outcomes include:</w:t>
      </w:r>
    </w:p>
    <w:p>
      <w:pPr>
        <w:numPr>
          <w:ilvl w:val="0"/>
          <w:numId w:val="1006"/>
        </w:numPr>
        <w:pStyle w:val="Compact"/>
      </w:pPr>
      <w:r>
        <w:rPr>
          <w:bCs/>
          <w:b/>
        </w:rPr>
        <w:t xml:space="preserve">50% increase</w:t>
      </w:r>
      <w:r>
        <w:t xml:space="preserve"> </w:t>
      </w:r>
      <w:r>
        <w:t xml:space="preserve">in qualified lecturer applications from Tehran-based candidates within 12 months</w:t>
      </w:r>
    </w:p>
    <w:p>
      <w:pPr>
        <w:numPr>
          <w:ilvl w:val="0"/>
          <w:numId w:val="1006"/>
        </w:numPr>
        <w:pStyle w:val="Compact"/>
      </w:pPr>
      <w:r>
        <w:rPr>
          <w:bCs/>
          <w:b/>
        </w:rPr>
        <w:t xml:space="preserve">35% reduction</w:t>
      </w:r>
      <w:r>
        <w:t xml:space="preserve"> </w:t>
      </w:r>
      <w:r>
        <w:t xml:space="preserve">in lecturer turnover at partner institutions (vs. national average of 42%)</w:t>
      </w:r>
    </w:p>
    <w:p>
      <w:pPr>
        <w:numPr>
          <w:ilvl w:val="0"/>
          <w:numId w:val="1006"/>
        </w:numPr>
        <w:pStyle w:val="Compact"/>
      </w:pPr>
      <w:r>
        <w:rPr>
          <w:bCs/>
          <w:b/>
        </w:rPr>
        <w:t xml:space="preserve">Tehran-focused brand recognition:</w:t>
      </w:r>
      <w:r>
        <w:t xml:space="preserve"> </w:t>
      </w:r>
      <w:r>
        <w:t xml:space="preserve">70% of applicants associating "University Lecturer" roles with Tehran’s academic prestige.</w:t>
      </w:r>
    </w:p>
    <w:bookmarkEnd w:id="27"/>
    <w:bookmarkStart w:id="28" w:name="Xd5b12787991800c99d274c4b7afafc434169d01"/>
    <w:p>
      <w:pPr>
        <w:pStyle w:val="Heading2"/>
      </w:pPr>
      <w:r>
        <w:t xml:space="preserve">Conclusion: Elevating Iran Tehran’s Academic Leadership</w:t>
      </w:r>
    </w:p>
    <w:p>
      <w:pPr>
        <w:pStyle w:val="FirstParagraph"/>
      </w:pPr>
      <w:r>
        <w:t xml:space="preserve">This Marketing Plan transcends conventional recruitment—it positions University Lecturers as central architects of Iran’s educational renaissance in Tehran. By embedding cultural intelligence, institutional alignment with Ministry of Science priorities, and Tehran-specific incentives, the strategy ensures sustainable growth in academic talent. As the heart of Iran’s higher education system, Tehran’s universities must attract lecturers who embody national pride and scholarly excellence. This plan delivers precisely that: a unified framework where every element—from digital campaigns to retention programs—reinforces "University Lecturer" as the cornerstone of Tehran’s academic future, directly contributing to Iran’s vision for knowledge-driven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Iran Tehran</dc:title>
  <dc:creator/>
  <dc:language>en</dc:language>
  <cp:keywords/>
  <dcterms:created xsi:type="dcterms:W3CDTF">2025-12-12T16:14:12Z</dcterms:created>
  <dcterms:modified xsi:type="dcterms:W3CDTF">2025-12-12T16:14:12Z</dcterms:modified>
</cp:coreProperties>
</file>

<file path=docProps/custom.xml><?xml version="1.0" encoding="utf-8"?>
<Properties xmlns="http://schemas.openxmlformats.org/officeDocument/2006/custom-properties" xmlns:vt="http://schemas.openxmlformats.org/officeDocument/2006/docPropsVTypes"/>
</file>