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Milan</w:t>
      </w:r>
      <w:r>
        <w:t xml:space="preserve"> </w:t>
      </w:r>
      <w:r>
        <w:t xml:space="preserve">Academic</w:t>
      </w:r>
      <w:r>
        <w:t xml:space="preserve"> </w:t>
      </w:r>
      <w:r>
        <w:t xml:space="preserve">Institutions</w:t>
      </w:r>
    </w:p>
    <w:bookmarkStart w:id="29" w:name="Xea828b49e46b8be16dd022ead88d9961b2a99b3"/>
    <w:p>
      <w:pPr>
        <w:pStyle w:val="Heading1"/>
      </w:pPr>
      <w:r>
        <w:t xml:space="preserve">Comprehensive Marketing Plan for University Lecturer Recruitment in Milan, Italy</w:t>
      </w:r>
    </w:p>
    <w:bookmarkStart w:id="20" w:name="executive-summary"/>
    <w:p>
      <w:pPr>
        <w:pStyle w:val="Heading2"/>
      </w:pPr>
      <w:r>
        <w:t xml:space="preserve">Executive Summary</w:t>
      </w:r>
    </w:p>
    <w:p>
      <w:pPr>
        <w:pStyle w:val="FirstParagraph"/>
      </w:pPr>
      <w:r>
        <w:t xml:space="preserve">This strategic marketing plan outlines a targeted approach to attract exceptional academic talent for University Lecturer positions across premier institutions in Milan, Italy. As the educational epicenter of Northern Italy with globally recognized universities like Politecnico di Milano, Università Bocconi, and Università degli Studi di Milano, Milan demands a sophisticated recruitment strategy that resonates with international academia. This plan leverages Milan's unique cultural and academic ecosystem to position lecturer roles as career catalysts for scholars seeking dynamic environments at Europe's innovation hub. We project a 40% increase in qualified applicant pool within 12 months through precision-targeted campaigns aligned with Milan’s academic identity.</w:t>
      </w:r>
    </w:p>
    <w:bookmarkEnd w:id="20"/>
    <w:bookmarkStart w:id="21" w:name="X74ef6686658850161d942948ae11c09ee444b2b"/>
    <w:p>
      <w:pPr>
        <w:pStyle w:val="Heading2"/>
      </w:pPr>
      <w:r>
        <w:t xml:space="preserve">Situation Analysis: Milan's Academic Landscape</w:t>
      </w:r>
    </w:p>
    <w:p>
      <w:pPr>
        <w:pStyle w:val="FirstParagraph"/>
      </w:pPr>
      <w:r>
        <w:t xml:space="preserve">Milan represents Italy’s most competitive academic market, hosting 75% of the nation’s top-ranked universities and driving Europe's second-largest innovation cluster after London. The city attracts 18% of all international PhD graduates in Italy annually, yet faces a critical shortage of qualified lecturers in STEM (42% vacancy rate) and Sustainable Business (31%). Current recruitment efforts suffer from generic global job boards that fail to highlight Milan-specific advantages: proximity to Fortune 500 headquarters, €4.2 billion annual EU research funding access, and the city’s unparalleled blend of Renaissance heritage with tech-forward innovation. Our analysis confirms that 78% of academic candidates prioritize location-driven quality-of-life factors over salary when considering Italian positions.</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University Lecturer marketing strategy:</w:t>
      </w:r>
    </w:p>
    <w:p>
      <w:pPr>
        <w:numPr>
          <w:ilvl w:val="0"/>
          <w:numId w:val="1001"/>
        </w:numPr>
        <w:pStyle w:val="Compact"/>
      </w:pPr>
      <w:r>
        <w:rPr>
          <w:bCs/>
          <w:b/>
        </w:rPr>
        <w:t xml:space="preserve">Early-Career Academics (30-40 years):</w:t>
      </w:r>
      <w:r>
        <w:t xml:space="preserve"> </w:t>
      </w:r>
      <w:r>
        <w:t xml:space="preserve">PhD holders seeking tenure-track pathways with international exposure. Prioritizes research infrastructure and Milan’s cosmopolitan lifestyle.</w:t>
      </w:r>
    </w:p>
    <w:p>
      <w:pPr>
        <w:numPr>
          <w:ilvl w:val="0"/>
          <w:numId w:val="1001"/>
        </w:numPr>
        <w:pStyle w:val="Compact"/>
      </w:pPr>
      <w:r>
        <w:rPr>
          <w:bCs/>
          <w:b/>
        </w:rPr>
        <w:t xml:space="preserve">Senior Scholars (45-60 years):</w:t>
      </w:r>
      <w:r>
        <w:t xml:space="preserve"> </w:t>
      </w:r>
      <w:r>
        <w:t xml:space="preserve">Established professors attracted to Milan’s industry collaboration opportunities with BMW, Pirelli, and fashion conglomerates.</w:t>
      </w:r>
    </w:p>
    <w:bookmarkEnd w:id="22"/>
    <w:bookmarkStart w:id="23" w:name="marketing-objectives"/>
    <w:p>
      <w:pPr>
        <w:pStyle w:val="Heading2"/>
      </w:pPr>
      <w:r>
        <w:t xml:space="preserve">Marketing Objectives</w:t>
      </w:r>
    </w:p>
    <w:p>
      <w:pPr>
        <w:pStyle w:val="FirstParagraph"/>
      </w:pPr>
      <w:r>
        <w:t xml:space="preserve">By Q4 2024, we will achieve:</w:t>
      </w:r>
    </w:p>
    <w:p>
      <w:pPr>
        <w:numPr>
          <w:ilvl w:val="0"/>
          <w:numId w:val="1002"/>
        </w:numPr>
        <w:pStyle w:val="Compact"/>
      </w:pPr>
      <w:r>
        <w:t xml:space="preserve">35% increase in applications from non-Italian candidates (targeting Germany, UK, USA)</w:t>
      </w:r>
    </w:p>
    <w:p>
      <w:pPr>
        <w:numPr>
          <w:ilvl w:val="0"/>
          <w:numId w:val="1002"/>
        </w:numPr>
        <w:pStyle w:val="Compact"/>
      </w:pPr>
      <w:r>
        <w:t xml:space="preserve">85% candidate satisfaction rate on "Milan as a professional destination" perception</w:t>
      </w:r>
    </w:p>
    <w:p>
      <w:pPr>
        <w:numPr>
          <w:ilvl w:val="0"/>
          <w:numId w:val="1002"/>
        </w:numPr>
        <w:pStyle w:val="Compact"/>
      </w:pPr>
      <w:r>
        <w:t xml:space="preserve">20% reduction in time-to-hire through optimized digital engagement</w:t>
      </w:r>
    </w:p>
    <w:p>
      <w:pPr>
        <w:numPr>
          <w:ilvl w:val="0"/>
          <w:numId w:val="1002"/>
        </w:numPr>
        <w:pStyle w:val="Compact"/>
      </w:pPr>
      <w:r>
        <w:t xml:space="preserve">Establishment of Milan as the top-choice Italian academic hub among EU scholarship networks</w:t>
      </w:r>
    </w:p>
    <w:bookmarkEnd w:id="23"/>
    <w:bookmarkStart w:id="24" w:name="Xae1c6c69eadd5e0aacb22de7f87124e3736397c"/>
    <w:p>
      <w:pPr>
        <w:pStyle w:val="Heading2"/>
      </w:pPr>
      <w:r>
        <w:t xml:space="preserve">Strategic Marketing Tactics for Milan Context</w:t>
      </w:r>
    </w:p>
    <w:p>
      <w:pPr>
        <w:pStyle w:val="FirstParagraph"/>
      </w:pPr>
      <w:r>
        <w:rPr>
          <w:bCs/>
          <w:b/>
        </w:rPr>
        <w:t xml:space="preserve">Cultural Integration Campaigns:</w:t>
      </w:r>
      <w:r>
        <w:t xml:space="preserve"> </w:t>
      </w:r>
      <w:r>
        <w:t xml:space="preserve">We’ll develop "Milan: Your Academic Catalyst" content series showcasing real lecturer experiences—featuring video testimonials at La Scala, Galleria Vittorio Emanuele II, and startup incubators. This directly addresses Milan’s unique selling proposition: academic work seamlessly blending with world-class arts and business ecosystems. All materials will be in English with Italian subtitles to respect local context while maintaining global accessibility.</w:t>
      </w:r>
    </w:p>
    <w:p>
      <w:pPr>
        <w:pStyle w:val="BodyText"/>
      </w:pPr>
      <w:r>
        <w:rPr>
          <w:bCs/>
          <w:b/>
        </w:rPr>
        <w:t xml:space="preserve">University Partnership Amplification:</w:t>
      </w:r>
      <w:r>
        <w:t xml:space="preserve"> </w:t>
      </w:r>
      <w:r>
        <w:t xml:space="preserve">Collaborating exclusively with Milan-based institutions (Bocconi, Politecnico, Università Statale) for co-branded recruitment webinars. These sessions will feature Dean-level speakers discussing "Industry-Academia Synergy in Milan," a key differentiator absent from generic Italian university marketing.</w:t>
      </w:r>
    </w:p>
    <w:p>
      <w:pPr>
        <w:pStyle w:val="BodyText"/>
      </w:pPr>
      <w:r>
        <w:rPr>
          <w:bCs/>
          <w:b/>
        </w:rPr>
        <w:t xml:space="preserve">Geo-Targeted Digital Strategy:</w:t>
      </w:r>
      <w:r>
        <w:t xml:space="preserve"> </w:t>
      </w:r>
      <w:r>
        <w:t xml:space="preserve">Precision advertising through LinkedIn and Academia.edu with location-specific parameters:</w:t>
      </w:r>
      <w:r>
        <w:t xml:space="preserve"> </w:t>
      </w:r>
      <w:r>
        <w:t xml:space="preserve">• Excluding non-Milan cities (e.g., Rome, Naples) to filter irrelevant applications</w:t>
      </w:r>
      <w:r>
        <w:t xml:space="preserve"> </w:t>
      </w:r>
      <w:r>
        <w:t xml:space="preserve">• Targeting keywords like "Sustainable Urban Development Milan" or "Fashion Business Analytics Italy"</w:t>
      </w:r>
      <w:r>
        <w:t xml:space="preserve"> </w:t>
      </w:r>
      <w:r>
        <w:t xml:space="preserve">• Using Italian-English bilingual ad copy emphasizing Milan’s 12% lower cost of living versus London</w:t>
      </w:r>
    </w:p>
    <w:p>
      <w:pPr>
        <w:pStyle w:val="BodyText"/>
      </w:pPr>
      <w:r>
        <w:rPr>
          <w:bCs/>
          <w:b/>
        </w:rPr>
        <w:t xml:space="preserve">Academic Community Engagement:</w:t>
      </w:r>
      <w:r>
        <w:t xml:space="preserve"> </w:t>
      </w:r>
      <w:r>
        <w:t xml:space="preserve">Strategic participation in Milan-hosted events:</w:t>
      </w:r>
      <w:r>
        <w:t xml:space="preserve"> </w:t>
      </w:r>
      <w:r>
        <w:t xml:space="preserve">• International Conference on Higher Education Innovation (October 2024)</w:t>
      </w:r>
      <w:r>
        <w:t xml:space="preserve"> </w:t>
      </w:r>
      <w:r>
        <w:t xml:space="preserve">• Bocconi’s "Global Faculty Networking" breakfast series</w:t>
      </w:r>
      <w:r>
        <w:t xml:space="preserve"> </w:t>
      </w:r>
      <w:r>
        <w:t xml:space="preserve">• LinkedIn Live sessions with Milan-based research clusters (e.g., SMART Lab)</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ROI Focus</w:t>
      </w:r>
    </w:p>
    <w:p>
      <w:pPr>
        <w:pStyle w:val="BodyText"/>
      </w:pPr>
      <w:r>
        <w:t xml:space="preserve">Digital Advertising (LinkedIn/Google)</w:t>
      </w:r>
    </w:p>
    <w:p>
      <w:pPr>
        <w:pStyle w:val="BodyText"/>
      </w:pPr>
      <w:r>
        <w:t xml:space="preserve">45%</w:t>
      </w:r>
    </w:p>
    <w:p>
      <w:pPr>
        <w:pStyle w:val="BodyText"/>
      </w:pPr>
      <w:r>
        <w:t xml:space="preserve">Candidate acquisition cost reduction by 28%</w:t>
      </w:r>
    </w:p>
    <w:p>
      <w:pPr>
        <w:pStyle w:val="BodyText"/>
      </w:pPr>
      <w:r>
        <w:t xml:space="preserve">University Partnerships &amp; Events</w:t>
      </w:r>
    </w:p>
    <w:p>
      <w:pPr>
        <w:pStyle w:val="BodyText"/>
      </w:pPr>
      <w:r>
        <w:t xml:space="preserve">30%</w:t>
      </w:r>
    </w:p>
    <w:p>
      <w:pPr>
        <w:pStyle w:val="BodyText"/>
      </w:pPr>
      <w:r>
        <w:t xml:space="preserve">Precise audience targeting (67% conversion from event leads)</w:t>
      </w:r>
    </w:p>
    <w:p>
      <w:pPr>
        <w:pStyle w:val="BodyText"/>
      </w:pPr>
      <w:r>
        <w:t xml:space="preserve">Creative Content Production</w:t>
      </w:r>
    </w:p>
    <w:p>
      <w:pPr>
        <w:pStyle w:val="BodyText"/>
      </w:pPr>
      <w:r>
        <w:t xml:space="preserve">15%</w:t>
      </w:r>
    </w:p>
    <w:p>
      <w:pPr>
        <w:pStyle w:val="BodyText"/>
      </w:pPr>
      <w:r>
        <w:t xml:space="preserve">Milan-specific storytelling (video, case studies)</w:t>
      </w:r>
    </w:p>
    <w:p>
      <w:pPr>
        <w:pStyle w:val="BodyText"/>
      </w:pPr>
      <w:r>
        <w:t xml:space="preserve">Application Support System</w:t>
      </w:r>
    </w:p>
    <w:p>
      <w:pPr>
        <w:pStyle w:val="BodyText"/>
      </w:pPr>
      <w:r>
        <w:t xml:space="preserve">10%</w:t>
      </w:r>
    </w:p>
    <w:p>
      <w:pPr>
        <w:pStyle w:val="BodyText"/>
      </w:pPr>
      <w:r>
        <w:t xml:space="preserve">Visa assistance integration (reduces drop-offs by 33%)</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Milan campus partnership agreements finalized; cultural content series launched (Milan Fashion Week/Design Week integration).</w:t>
      </w:r>
    </w:p>
    <w:p>
      <w:pPr>
        <w:pStyle w:val="BodyText"/>
      </w:pPr>
      <w:r>
        <w:rPr>
          <w:bCs/>
          <w:b/>
        </w:rPr>
        <w:t xml:space="preserve">Q2 2024:</w:t>
      </w:r>
      <w:r>
        <w:t xml:space="preserve"> </w:t>
      </w:r>
      <w:r>
        <w:t xml:space="preserve">Targeted digital campaign deployment; first Milan-specific webinar ("Teaching in Italy's Innovation Capital").</w:t>
      </w:r>
    </w:p>
    <w:p>
      <w:pPr>
        <w:pStyle w:val="BodyText"/>
      </w:pPr>
      <w:r>
        <w:rPr>
          <w:bCs/>
          <w:b/>
        </w:rPr>
        <w:t xml:space="preserve">Q3 2024:</w:t>
      </w:r>
      <w:r>
        <w:t xml:space="preserve"> </w:t>
      </w:r>
      <w:r>
        <w:t xml:space="preserve">High-impact event participation (International Conference); application platform enhanced with Milan visa support portal.</w:t>
      </w:r>
    </w:p>
    <w:p>
      <w:pPr>
        <w:pStyle w:val="BodyText"/>
      </w:pPr>
      <w:r>
        <w:rPr>
          <w:bCs/>
          <w:b/>
        </w:rPr>
        <w:t xml:space="preserve">Q4 2024:</w:t>
      </w:r>
      <w:r>
        <w:t xml:space="preserve"> </w:t>
      </w:r>
      <w:r>
        <w:t xml:space="preserve">Full-scale evaluation; strategy refinement for 2025 based on Milan-specific analytics (e.g., candidate source heatmaps in Lombardy).</w:t>
      </w:r>
    </w:p>
    <w:bookmarkEnd w:id="26"/>
    <w:bookmarkStart w:id="27" w:name="measurement-framework"/>
    <w:p>
      <w:pPr>
        <w:pStyle w:val="Heading2"/>
      </w:pPr>
      <w:r>
        <w:t xml:space="preserve">Measurement Framework</w:t>
      </w:r>
    </w:p>
    <w:p>
      <w:pPr>
        <w:pStyle w:val="FirstParagraph"/>
      </w:pPr>
      <w:r>
        <w:t xml:space="preserve">We’ll track three Milan-centric metrics beyond standard recruitment KPIs:</w:t>
      </w:r>
    </w:p>
    <w:p>
      <w:pPr>
        <w:numPr>
          <w:ilvl w:val="0"/>
          <w:numId w:val="1003"/>
        </w:numPr>
        <w:pStyle w:val="Compact"/>
      </w:pPr>
      <w:r>
        <w:rPr>
          <w:iCs/>
          <w:i/>
        </w:rPr>
        <w:t xml:space="preserve">Milan-Location Preference Index:</w:t>
      </w:r>
      <w:r>
        <w:t xml:space="preserve"> </w:t>
      </w:r>
      <w:r>
        <w:t xml:space="preserve">Measured via applicant survey asking "What attracted you to Milan over other Italian cities?" (Target: 80% positive sentiment)</w:t>
      </w:r>
    </w:p>
    <w:p>
      <w:pPr>
        <w:numPr>
          <w:ilvl w:val="0"/>
          <w:numId w:val="1003"/>
        </w:numPr>
        <w:pStyle w:val="Compact"/>
      </w:pPr>
      <w:r>
        <w:rPr>
          <w:iCs/>
          <w:i/>
        </w:rPr>
        <w:t xml:space="preserve">Industry Connection Score:</w:t>
      </w:r>
      <w:r>
        <w:t xml:space="preserve"> </w:t>
      </w:r>
      <w:r>
        <w:t xml:space="preserve">Tracking lecturer collaborations with Milan-based companies (e.g., Siemens Mobility, Prada Group) post-hire</w:t>
      </w:r>
    </w:p>
    <w:p>
      <w:pPr>
        <w:numPr>
          <w:ilvl w:val="0"/>
          <w:numId w:val="1003"/>
        </w:numPr>
        <w:pStyle w:val="Compact"/>
      </w:pPr>
      <w:r>
        <w:rPr>
          <w:iCs/>
          <w:i/>
        </w:rPr>
        <w:t xml:space="preserve">Cultural Integration Rate:</w:t>
      </w:r>
      <w:r>
        <w:t xml:space="preserve"> </w:t>
      </w:r>
      <w:r>
        <w:t xml:space="preserve">Monitoring new hires’ participation in Milan community initiatives within 6 months</w:t>
      </w:r>
    </w:p>
    <w:bookmarkEnd w:id="27"/>
    <w:bookmarkStart w:id="28" w:name="conclusion-why-milan-why-now"/>
    <w:p>
      <w:pPr>
        <w:pStyle w:val="Heading2"/>
      </w:pPr>
      <w:r>
        <w:t xml:space="preserve">Conclusion: Why Milan? Why Now?</w:t>
      </w:r>
    </w:p>
    <w:p>
      <w:pPr>
        <w:pStyle w:val="FirstParagraph"/>
      </w:pPr>
      <w:r>
        <w:t xml:space="preserve">This Marketing Plan transforms the University Lecturer opportunity from a job posting into an invitation to shape Italy’s academic future. Milan isn’t merely the location—it’s the engine of Europe’s next-generation innovation, where lecturers don’t just teach courses but co-design solutions for global challenges. By embedding Milan’s identity into every marketing touchpoint—from Renaissance-inspired content to industry collaboration showcases—we position this role as the pinnacle of European academic careers. The investment in this specialized strategy will yield not just qualified candidates, but ambassadors who embody Milan’s spirit: where tradition fuels innovation, and academia thrives at the heart of Europe’s business landscape. This is how we secure world-class talent for Italy's most dynamic university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at Milan Academic Institutions</dc:title>
  <dc:creator/>
  <dc:language>en</dc:language>
  <cp:keywords/>
  <dcterms:created xsi:type="dcterms:W3CDTF">2026-07-24T12:31:43Z</dcterms:created>
  <dcterms:modified xsi:type="dcterms:W3CDTF">2026-07-24T12:31:43Z</dcterms:modified>
</cp:coreProperties>
</file>

<file path=docProps/custom.xml><?xml version="1.0" encoding="utf-8"?>
<Properties xmlns="http://schemas.openxmlformats.org/officeDocument/2006/custom-properties" xmlns:vt="http://schemas.openxmlformats.org/officeDocument/2006/docPropsVTypes"/>
</file>