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Japan</w:t>
      </w:r>
      <w:r>
        <w:t xml:space="preserve"> </w:t>
      </w:r>
      <w:r>
        <w:t xml:space="preserve">Osaka</w:t>
      </w:r>
    </w:p>
    <w:bookmarkStart w:id="32" w:name="Xbcc7112eb58e4fd5fd388dc94234e7ff4d25ada"/>
    <w:p>
      <w:pPr>
        <w:pStyle w:val="Heading1"/>
      </w:pPr>
      <w:r>
        <w:t xml:space="preserve">Comprehensive Marketing Plan for Attracting International University Lecturers to Osaka, Japan</w:t>
      </w:r>
    </w:p>
    <w:bookmarkStart w:id="20" w:name="executive-summary"/>
    <w:p>
      <w:pPr>
        <w:pStyle w:val="Heading2"/>
      </w:pPr>
      <w:r>
        <w:t xml:space="preserve">Executive Summary</w:t>
      </w:r>
    </w:p>
    <w:p>
      <w:pPr>
        <w:pStyle w:val="FirstParagraph"/>
      </w:pPr>
      <w:r>
        <w:t xml:space="preserve">This Marketing Plan outlines a targeted strategy to recruit highly qualified international University Lecturer candidates for prestigious institutions in Japan Osaka. Recognizing Osaka's status as a dynamic economic and educational hub within the Kansai region, this plan addresses critical talent gaps in STEM, business, and cultural studies disciplines. With over 40 universities operating across Osaka Prefecture—including top-tier institutions like Osaka University and Kansai University—we present a compelling value proposition to attract global academic talent. The primary objective is to secure 15 high-caliber University Lecturer applicants within the next 180 days, positioning Japan Osaka as a premier destination for international academia.</w:t>
      </w:r>
    </w:p>
    <w:bookmarkEnd w:id="20"/>
    <w:bookmarkStart w:id="21" w:name="Xfc1a51445ce2f7d80414f67d1b52583586bd3a4"/>
    <w:p>
      <w:pPr>
        <w:pStyle w:val="Heading2"/>
      </w:pPr>
      <w:r>
        <w:t xml:space="preserve">Situation Analysis: Osaka's Academic Landscape</w:t>
      </w:r>
    </w:p>
    <w:p>
      <w:pPr>
        <w:pStyle w:val="FirstParagraph"/>
      </w:pPr>
      <w:r>
        <w:t xml:space="preserve">Japan Osaka represents a strategic nexus where traditional Japanese scholarship converges with global innovation. The region hosts 35% of Japan's research universities and leads in industry-academia collaboration, particularly in robotics, pharmaceuticals, and sustainable urban development. Current challenges include: (1) A 28% shortage of tenure-track University Lecturer positions in STEM fields (Ministry of Education 2023), (2) High competition for international faculty from Tokyo-based institutions, and (3) Limited awareness among global academics about Osaka's cost-of-living advantages compared to Tokyo. Crucially, Osaka offers a 40% lower housing cost than Tokyo while maintaining world-class infrastructure—making it an ideal location for career-focused University Lecturers seeking balance.</w:t>
      </w:r>
    </w:p>
    <w:bookmarkEnd w:id="21"/>
    <w:bookmarkStart w:id="22" w:name="target-audience-segmentation"/>
    <w:p>
      <w:pPr>
        <w:pStyle w:val="Heading2"/>
      </w:pPr>
      <w:r>
        <w:t xml:space="preserve">Target Audience Segmentation</w:t>
      </w:r>
    </w:p>
    <w:p>
      <w:pPr>
        <w:pStyle w:val="FirstParagraph"/>
      </w:pPr>
      <w:r>
        <w:t xml:space="preserve">This Marketing Plan prioritizes three key audience segments:</w:t>
      </w:r>
    </w:p>
    <w:p>
      <w:pPr>
        <w:numPr>
          <w:ilvl w:val="0"/>
          <w:numId w:val="1001"/>
        </w:numPr>
        <w:pStyle w:val="Compact"/>
      </w:pPr>
      <w:r>
        <w:rPr>
          <w:bCs/>
          <w:b/>
        </w:rPr>
        <w:t xml:space="preserve">Early-Career Academics (30-40 years):</w:t>
      </w:r>
      <w:r>
        <w:t xml:space="preserve"> </w:t>
      </w:r>
      <w:r>
        <w:t xml:space="preserve">Doctoral graduates with 1-5 years postdoc experience seeking tenure-track opportunities. They prioritize career advancement, research funding, and family-friendly environments. Osaka's compact city layout and proximity to Kyoto/Kobe are significant attractions.</w:t>
      </w:r>
    </w:p>
    <w:p>
      <w:pPr>
        <w:numPr>
          <w:ilvl w:val="0"/>
          <w:numId w:val="1001"/>
        </w:numPr>
        <w:pStyle w:val="Compact"/>
      </w:pPr>
      <w:r>
        <w:rPr>
          <w:bCs/>
          <w:b/>
        </w:rPr>
        <w:t xml:space="preserve">Mid-Career Specialists (40-50 years):</w:t>
      </w:r>
      <w:r>
        <w:t xml:space="preserve"> </w:t>
      </w:r>
      <w:r>
        <w:t xml:space="preserve">Established researchers with industry partnerships requiring relocation flexibility. They value Osaka's status as a global manufacturing hub offering R&amp;D collaboration opportunities with companies like Panasonic and Sharp.</w:t>
      </w:r>
    </w:p>
    <w:p>
      <w:pPr>
        <w:numPr>
          <w:ilvl w:val="0"/>
          <w:numId w:val="1001"/>
        </w:numPr>
        <w:pStyle w:val="Compact"/>
      </w:pPr>
      <w:r>
        <w:rPr>
          <w:bCs/>
          <w:b/>
        </w:rPr>
        <w:t xml:space="preserve">Japan-Speaking International Faculty:</w:t>
      </w:r>
      <w:r>
        <w:t xml:space="preserve"> </w:t>
      </w:r>
      <w:r>
        <w:t xml:space="preserve">Academics fluent in Japanese seeking to integrate into local communities. We leverage Osaka's large expatriate community (35,000+ foreigners) for peer advocacy through the Osaka International Community Association.</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Secure 15+ qualified University Lecturer applications from Tier-1 global universities (QS Top 200)</w:t>
      </w:r>
    </w:p>
    <w:p>
      <w:pPr>
        <w:numPr>
          <w:ilvl w:val="0"/>
          <w:numId w:val="1002"/>
        </w:numPr>
        <w:pStyle w:val="Compact"/>
      </w:pPr>
      <w:r>
        <w:t xml:space="preserve">Achieve 75% candidate satisfaction rate on cultural integration support (measured via post-hire surveys)</w:t>
      </w:r>
    </w:p>
    <w:p>
      <w:pPr>
        <w:numPr>
          <w:ilvl w:val="0"/>
          <w:numId w:val="1002"/>
        </w:numPr>
        <w:pStyle w:val="Compact"/>
      </w:pPr>
      <w:r>
        <w:t xml:space="preserve">Attain 90% brand recognition among target audiences within Japan Osaka's academic circles</w:t>
      </w:r>
    </w:p>
    <w:p>
      <w:pPr>
        <w:numPr>
          <w:ilvl w:val="0"/>
          <w:numId w:val="1002"/>
        </w:numPr>
        <w:pStyle w:val="Compact"/>
      </w:pPr>
      <w:r>
        <w:t xml:space="preserve">Reduce time-to-hire by 30% through streamlined digital processes</w:t>
      </w:r>
    </w:p>
    <w:bookmarkEnd w:id="23"/>
    <w:bookmarkStart w:id="27" w:name="integrated-marketing-strategies-tactics"/>
    <w:p>
      <w:pPr>
        <w:pStyle w:val="Heading2"/>
      </w:pPr>
      <w:r>
        <w:t xml:space="preserve">Integrated Marketing Strategies &amp; Tactics</w:t>
      </w:r>
    </w:p>
    <w:bookmarkStart w:id="24" w:name="X10411ed3a1f007c19c8da3ed861cdaf658e6b97"/>
    <w:p>
      <w:pPr>
        <w:pStyle w:val="Heading3"/>
      </w:pPr>
      <w:r>
        <w:t xml:space="preserve">1. Digital Campaigns with Osaka-Centric Messaging</w:t>
      </w:r>
    </w:p>
    <w:p>
      <w:pPr>
        <w:pStyle w:val="FirstParagraph"/>
      </w:pPr>
      <w:r>
        <w:t xml:space="preserve">We deploy geo-targeted LinkedIn and Academia.edu campaigns focusing on "University Lecturer" roles in Japan Osaka, emphasizing:</w:t>
      </w:r>
    </w:p>
    <w:p>
      <w:pPr>
        <w:numPr>
          <w:ilvl w:val="0"/>
          <w:numId w:val="1003"/>
        </w:numPr>
        <w:pStyle w:val="Compact"/>
      </w:pPr>
      <w:r>
        <w:rPr>
          <w:iCs/>
          <w:i/>
        </w:rPr>
        <w:t xml:space="preserve">"Join Osaka's Innovation Engine: Teach at a Top 10 Japanese University with 2.5x More Lab Funding Than Tokyo"</w:t>
      </w:r>
    </w:p>
    <w:p>
      <w:pPr>
        <w:numPr>
          <w:ilvl w:val="0"/>
          <w:numId w:val="1003"/>
        </w:numPr>
        <w:pStyle w:val="Compact"/>
      </w:pPr>
      <w:r>
        <w:rPr>
          <w:iCs/>
          <w:i/>
        </w:rPr>
        <w:t xml:space="preserve">"Live in the Heart of Kansai: 20-Minute Train Ride to Historic Dōtonbori &amp; Global Business Hubs"</w:t>
      </w:r>
    </w:p>
    <w:p>
      <w:pPr>
        <w:pStyle w:val="FirstParagraph"/>
      </w:pPr>
      <w:r>
        <w:t xml:space="preserve">Content includes virtual campus tours of Osaka University's new AI Research Center and testimonials from current foreign lecturers. All materials feature Osaka landmarks (e.g., Umeda Sky Building) to reinforce location identity.</w:t>
      </w:r>
    </w:p>
    <w:bookmarkEnd w:id="24"/>
    <w:bookmarkStart w:id="25" w:name="strategic-partnerships-in-japan-osaka"/>
    <w:p>
      <w:pPr>
        <w:pStyle w:val="Heading3"/>
      </w:pPr>
      <w:r>
        <w:t xml:space="preserve">2. Strategic Partnerships in Japan Osaka</w:t>
      </w:r>
    </w:p>
    <w:p>
      <w:pPr>
        <w:pStyle w:val="FirstParagraph"/>
      </w:pPr>
      <w:r>
        <w:t xml:space="preserve">Collaborate with key local entities:</w:t>
      </w:r>
    </w:p>
    <w:p>
      <w:pPr>
        <w:numPr>
          <w:ilvl w:val="0"/>
          <w:numId w:val="1004"/>
        </w:numPr>
        <w:pStyle w:val="Compact"/>
      </w:pPr>
      <w:r>
        <w:rPr>
          <w:bCs/>
          <w:b/>
        </w:rPr>
        <w:t xml:space="preserve">Osaka Prefecture Education Board:</w:t>
      </w:r>
      <w:r>
        <w:t xml:space="preserve"> </w:t>
      </w:r>
      <w:r>
        <w:t xml:space="preserve">Co-host "Academic Mobility Fairs" at Osaka Castle Park (spring/fall) targeting 200+ international candidates annually.</w:t>
      </w:r>
    </w:p>
    <w:p>
      <w:pPr>
        <w:numPr>
          <w:ilvl w:val="0"/>
          <w:numId w:val="1004"/>
        </w:numPr>
        <w:pStyle w:val="Compact"/>
      </w:pPr>
      <w:r>
        <w:rPr>
          <w:bCs/>
          <w:b/>
        </w:rPr>
        <w:t xml:space="preserve">Japan Association of University Women (JAUW):</w:t>
      </w:r>
      <w:r>
        <w:t xml:space="preserve"> </w:t>
      </w:r>
      <w:r>
        <w:t xml:space="preserve">Develop scholarship programs for female University Lecturers, addressing gender gaps in STEM roles across Japan Osaka universities.</w:t>
      </w:r>
    </w:p>
    <w:p>
      <w:pPr>
        <w:numPr>
          <w:ilvl w:val="0"/>
          <w:numId w:val="1004"/>
        </w:numPr>
        <w:pStyle w:val="Compact"/>
      </w:pPr>
      <w:r>
        <w:rPr>
          <w:bCs/>
          <w:b/>
        </w:rPr>
        <w:t xml:space="preserve">Nikkei Asia &amp; Mainichi Shimbun:</w:t>
      </w:r>
      <w:r>
        <w:t xml:space="preserve"> </w:t>
      </w:r>
      <w:r>
        <w:t xml:space="preserve">Place career-focused articles on "Why Osaka Beats Tokyo for Academic Careers" in leading Japanese media.</w:t>
      </w:r>
    </w:p>
    <w:bookmarkEnd w:id="25"/>
    <w:bookmarkStart w:id="26" w:name="X828abf0028d8e54b6f3893b95705a1247e70783"/>
    <w:p>
      <w:pPr>
        <w:pStyle w:val="Heading3"/>
      </w:pPr>
      <w:r>
        <w:t xml:space="preserve">3. Cultural Integration as a Core Selling Point</w:t>
      </w:r>
    </w:p>
    <w:p>
      <w:pPr>
        <w:pStyle w:val="FirstParagraph"/>
      </w:pPr>
      <w:r>
        <w:t xml:space="preserve">We position Japan Osaka as a culturally immersive destination through:</w:t>
      </w:r>
    </w:p>
    <w:p>
      <w:pPr>
        <w:numPr>
          <w:ilvl w:val="0"/>
          <w:numId w:val="1005"/>
        </w:numPr>
        <w:pStyle w:val="Compact"/>
      </w:pPr>
      <w:r>
        <w:t xml:space="preserve">Pre-arrival "Osaka Welcome Kits" including language apps, local cuisine guides, and neighborhood maps</w:t>
      </w:r>
    </w:p>
    <w:p>
      <w:pPr>
        <w:numPr>
          <w:ilvl w:val="0"/>
          <w:numId w:val="1005"/>
        </w:numPr>
        <w:pStyle w:val="Compact"/>
      </w:pPr>
      <w:r>
        <w:t xml:space="preserve">Mandatory 2-day orientation at Osaka International Community Center covering work-life balance in Japanese academia</w:t>
      </w:r>
    </w:p>
    <w:p>
      <w:pPr>
        <w:numPr>
          <w:ilvl w:val="0"/>
          <w:numId w:val="1005"/>
        </w:numPr>
        <w:pStyle w:val="Compact"/>
      </w:pPr>
      <w:r>
        <w:t xml:space="preserve">Alumni mentorship program pairing new University Lecturers with Osaka-based faculty from 50+ countries</w:t>
      </w:r>
    </w:p>
    <w:bookmarkEnd w:id="26"/>
    <w:bookmarkEnd w:id="27"/>
    <w:bookmarkStart w:id="28" w:name="budget-allocation-total-85000"/>
    <w:p>
      <w:pPr>
        <w:pStyle w:val="Heading2"/>
      </w:pPr>
      <w:r>
        <w:t xml:space="preserve">Budget Allocation (Total: $85,000)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w:t>
            </w:r>
          </w:p>
        </w:tc>
        <w:tc>
          <w:tcPr/>
          <w:p>
            <w:pPr>
              <w:pStyle w:val="Compact"/>
              <w:jc w:val="left"/>
            </w:pPr>
            <w:r>
              <w:t xml:space="preserve">Objective</w:t>
            </w:r>
          </w:p>
        </w:tc>
      </w:tr>
      <w:tr>
        <w:tc>
          <w:tcPr/>
          <w:p>
            <w:pPr>
              <w:pStyle w:val="Compact"/>
              <w:jc w:val="left"/>
            </w:pPr>
            <w:r>
              <w:t xml:space="preserve">Digital Advertising (LinkedIn/Google)</w:t>
            </w:r>
          </w:p>
        </w:tc>
        <w:tc>
          <w:tcPr/>
          <w:p>
            <w:pPr>
              <w:pStyle w:val="Compact"/>
              <w:jc w:val="left"/>
            </w:pPr>
            <w:r>
              <w:t xml:space="preserve">$28,000</w:t>
            </w:r>
          </w:p>
        </w:tc>
        <w:tc>
          <w:tcPr/>
          <w:p>
            <w:pPr>
              <w:pStyle w:val="Compact"/>
              <w:jc w:val="left"/>
            </w:pPr>
            <w:r>
              <w:t xml:space="preserve">Reach 50,000+ target academics globally</w:t>
            </w:r>
          </w:p>
        </w:tc>
      </w:tr>
      <w:tr>
        <w:tc>
          <w:tcPr/>
          <w:p>
            <w:pPr>
              <w:pStyle w:val="Compact"/>
              <w:jc w:val="left"/>
            </w:pPr>
            <w:r>
              <w:t xml:space="preserve">Oahu University Partnership Events (Osaka)</w:t>
            </w:r>
          </w:p>
        </w:tc>
        <w:tc>
          <w:tcPr/>
          <w:p>
            <w:pPr>
              <w:pStyle w:val="Compact"/>
              <w:jc w:val="left"/>
            </w:pPr>
            <w:r>
              <w:t xml:space="preserve">$32,500</w:t>
            </w:r>
          </w:p>
        </w:tc>
        <w:tc>
          <w:tcPr/>
          <w:p>
            <w:pPr>
              <w:pStyle w:val="Compact"/>
              <w:jc w:val="left"/>
            </w:pPr>
            <w:r>
              <w:t xml:space="preserve">Host 4 campus fairs in Osaka city centers</w:t>
            </w:r>
          </w:p>
        </w:tc>
      </w:tr>
      <w:tr>
        <w:tc>
          <w:tcPr/>
          <w:p>
            <w:pPr>
              <w:pStyle w:val="Compact"/>
              <w:jc w:val="left"/>
            </w:pPr>
            <w:r>
              <w:t xml:space="preserve">Cultural Integration Program</w:t>
            </w:r>
          </w:p>
        </w:tc>
        <w:tc>
          <w:tcPr/>
          <w:p>
            <w:pPr>
              <w:pStyle w:val="Compact"/>
              <w:jc w:val="left"/>
            </w:pPr>
            <w:r>
              <w:t xml:space="preserve">$15,000</w:t>
            </w:r>
          </w:p>
        </w:tc>
        <w:tc>
          <w:tcPr/>
          <w:p>
            <w:pPr>
              <w:pStyle w:val="Compact"/>
              <w:jc w:val="left"/>
            </w:pPr>
            <w:r>
              <w:t xml:space="preserve">Develop orientation materials and mentorship platforms</w:t>
            </w:r>
          </w:p>
        </w:tc>
      </w:tr>
      <w:tr>
        <w:tc>
          <w:tcPr/>
          <w:p>
            <w:pPr>
              <w:pStyle w:val="Compact"/>
              <w:jc w:val="left"/>
            </w:pPr>
            <w:r>
              <w:t xml:space="preserve">Media &amp; PR (Japan-specific)</w:t>
            </w:r>
          </w:p>
        </w:tc>
        <w:tc>
          <w:tcPr/>
          <w:p>
            <w:pPr>
              <w:pStyle w:val="Compact"/>
              <w:jc w:val="left"/>
            </w:pPr>
            <w:r>
              <w:t xml:space="preserve">$12,500</w:t>
            </w:r>
          </w:p>
        </w:tc>
        <w:tc>
          <w:tcPr/>
          <w:p>
            <w:pPr>
              <w:pStyle w:val="Compact"/>
              <w:jc w:val="left"/>
            </w:pPr>
            <w:r>
              <w:t xml:space="preserve">Secure 3+ features in Japanese academic journals</w:t>
            </w:r>
          </w:p>
        </w:tc>
      </w:tr>
    </w:tbl>
    <w:bookmarkEnd w:id="28"/>
    <w:bookmarkStart w:id="29" w:name="implementation-timeline"/>
    <w:p>
      <w:pPr>
        <w:pStyle w:val="Heading2"/>
      </w:pPr>
      <w:r>
        <w:t xml:space="preserve">Implementation Timeline</w:t>
      </w:r>
    </w:p>
    <w:p>
      <w:pPr>
        <w:pStyle w:val="FirstParagraph"/>
      </w:pPr>
      <w:r>
        <w:t xml:space="preserve">All activities align with Osaka's academic calendar:</w:t>
      </w:r>
    </w:p>
    <w:p>
      <w:pPr>
        <w:numPr>
          <w:ilvl w:val="0"/>
          <w:numId w:val="1006"/>
        </w:numPr>
        <w:pStyle w:val="Compact"/>
      </w:pPr>
      <w:r>
        <w:rPr>
          <w:bCs/>
          <w:b/>
        </w:rPr>
        <w:t xml:space="preserve">Month 1-3:</w:t>
      </w:r>
      <w:r>
        <w:t xml:space="preserve"> </w:t>
      </w:r>
      <w:r>
        <w:t xml:space="preserve">Launch digital campaigns; finalize university partnerships; produce Osaka-focused content</w:t>
      </w:r>
    </w:p>
    <w:p>
      <w:pPr>
        <w:numPr>
          <w:ilvl w:val="0"/>
          <w:numId w:val="1006"/>
        </w:numPr>
        <w:pStyle w:val="Compact"/>
      </w:pPr>
      <w:r>
        <w:rPr>
          <w:bCs/>
          <w:b/>
        </w:rPr>
        <w:t xml:space="preserve">Month 4-6:</w:t>
      </w:r>
      <w:r>
        <w:t xml:space="preserve"> </w:t>
      </w:r>
      <w:r>
        <w:t xml:space="preserve">Execute first Osaka Campus Fair (April); begin cultural orientation pilot</w:t>
      </w:r>
    </w:p>
    <w:p>
      <w:pPr>
        <w:numPr>
          <w:ilvl w:val="0"/>
          <w:numId w:val="1006"/>
        </w:numPr>
        <w:pStyle w:val="Compact"/>
      </w:pPr>
      <w:r>
        <w:rPr>
          <w:bCs/>
          <w:b/>
        </w:rPr>
        <w:t xml:space="preserve">Month 7-9:</w:t>
      </w:r>
      <w:r>
        <w:t xml:space="preserve"> </w:t>
      </w:r>
      <w:r>
        <w:t xml:space="preserve">Host Japan Osaka Academic Summit with Ministry of Education leaders; analyze application data</w:t>
      </w:r>
    </w:p>
    <w:p>
      <w:pPr>
        <w:numPr>
          <w:ilvl w:val="0"/>
          <w:numId w:val="1006"/>
        </w:numPr>
        <w:pStyle w:val="Compact"/>
      </w:pPr>
      <w:r>
        <w:rPr>
          <w:bCs/>
          <w:b/>
        </w:rPr>
        <w:t xml:space="preserve">Month 10-12:</w:t>
      </w:r>
      <w:r>
        <w:t xml:space="preserve"> </w:t>
      </w:r>
      <w:r>
        <w:t xml:space="preserve">Refine strategy based on candidate feedback; target second recruitment wave (August)</w:t>
      </w:r>
    </w:p>
    <w:bookmarkEnd w:id="29"/>
    <w:bookmarkStart w:id="30" w:name="evaluation-control-mechanisms"/>
    <w:p>
      <w:pPr>
        <w:pStyle w:val="Heading2"/>
      </w:pPr>
      <w:r>
        <w:t xml:space="preserve">Evaluation &amp; Control Mechanisms</w:t>
      </w:r>
    </w:p>
    <w:p>
      <w:pPr>
        <w:pStyle w:val="FirstParagraph"/>
      </w:pPr>
      <w:r>
        <w:t xml:space="preserve">We implement real-time metrics via a dedicated Osaka Talent Dashboard tracking:</w:t>
      </w:r>
    </w:p>
    <w:p>
      <w:pPr>
        <w:numPr>
          <w:ilvl w:val="0"/>
          <w:numId w:val="1007"/>
        </w:numPr>
        <w:pStyle w:val="Compact"/>
      </w:pPr>
      <w:r>
        <w:rPr>
          <w:iCs/>
          <w:i/>
        </w:rPr>
        <w:t xml:space="preserve">Application Quality Score:</w:t>
      </w:r>
      <w:r>
        <w:t xml:space="preserve"> </w:t>
      </w:r>
      <w:r>
        <w:t xml:space="preserve">Measured by candidate PhD institution ranking and research output (target: 80% above QS Top 150 standards)</w:t>
      </w:r>
    </w:p>
    <w:p>
      <w:pPr>
        <w:numPr>
          <w:ilvl w:val="0"/>
          <w:numId w:val="1007"/>
        </w:numPr>
        <w:pStyle w:val="Compact"/>
      </w:pPr>
      <w:r>
        <w:rPr>
          <w:iCs/>
          <w:i/>
        </w:rPr>
        <w:t xml:space="preserve">Cultural Adaptation Rate:</w:t>
      </w:r>
      <w:r>
        <w:t xml:space="preserve"> </w:t>
      </w:r>
      <w:r>
        <w:t xml:space="preserve">Post-arrival survey scores on community integration (target: ≥4.2/5)</w:t>
      </w:r>
    </w:p>
    <w:p>
      <w:pPr>
        <w:numPr>
          <w:ilvl w:val="0"/>
          <w:numId w:val="1007"/>
        </w:numPr>
        <w:pStyle w:val="Compact"/>
      </w:pPr>
      <w:r>
        <w:rPr>
          <w:iCs/>
          <w:i/>
        </w:rPr>
        <w:t xml:space="preserve">Cost per Qualified Hire:</w:t>
      </w:r>
      <w:r>
        <w:t xml:space="preserve"> </w:t>
      </w:r>
      <w:r>
        <w:t xml:space="preserve">Targeting $5,600 (vs. industry average of $7,200)</w:t>
      </w:r>
    </w:p>
    <w:p>
      <w:pPr>
        <w:pStyle w:val="FirstParagraph"/>
      </w:pPr>
      <w:r>
        <w:t xml:space="preserve">Bi-weekly review meetings with Osaka University HR directors ensure agile adjustments to the Marketing Plan based on local market feedback.</w:t>
      </w:r>
    </w:p>
    <w:bookmarkEnd w:id="30"/>
    <w:bookmarkStart w:id="31" w:name="conclusion-why-osaka-wins"/>
    <w:p>
      <w:pPr>
        <w:pStyle w:val="Heading2"/>
      </w:pPr>
      <w:r>
        <w:t xml:space="preserve">Conclusion: Why Osaka Wins</w:t>
      </w:r>
    </w:p>
    <w:p>
      <w:pPr>
        <w:pStyle w:val="FirstParagraph"/>
      </w:pPr>
      <w:r>
        <w:t xml:space="preserve">This Marketing Plan transforms Japan Osaka from a secondary academic destination into the preferred choice for global University Lecturer talent. By embedding cultural authenticity—leveraging Osaka's unique blend of tradition and innovation—we deliver exceptional candidate experiences while addressing systemic recruitment challenges. The strategy recognizes that successful University Lecturers in Japan Osaka don't just seek jobs; they seek meaningful careers within vibrant communities where their expertise directly shapes the region's future. With this plan, we position Osaka not merely as a location for academic work, but as a catalyst for global scholarly impact.</w:t>
      </w:r>
    </w:p>
    <w:p>
      <w:pPr>
        <w:pStyle w:val="BodyText"/>
      </w:pPr>
      <w:r>
        <w:rPr>
          <w:iCs/>
          <w:i/>
        </w:rPr>
        <w:t xml:space="preserve">Marketing Plan | University Lecturer Recruitment | Japan Osaka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Position in Japan Osaka</dc:title>
  <dc:creator/>
  <dc:language>en</dc:language>
  <cp:keywords/>
  <dcterms:created xsi:type="dcterms:W3CDTF">2026-07-23T15:21:09Z</dcterms:created>
  <dcterms:modified xsi:type="dcterms:W3CDTF">2026-07-23T15:21:09Z</dcterms:modified>
</cp:coreProperties>
</file>

<file path=docProps/custom.xml><?xml version="1.0" encoding="utf-8"?>
<Properties xmlns="http://schemas.openxmlformats.org/officeDocument/2006/custom-properties" xmlns:vt="http://schemas.openxmlformats.org/officeDocument/2006/docPropsVTypes"/>
</file>