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32" w:name="X4402275b906d6d5288fea0a297885c6f392a4f4"/>
    <w:p>
      <w:pPr>
        <w:pStyle w:val="Heading1"/>
      </w:pPr>
      <w:r>
        <w:t xml:space="preserve">Comprehensive Marketing Plan for Attracting Elite University Lecturers in Kazakhstan Almaty</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University Lecturers for higher education institutions across Kazakhstan Almaty. As the educational hub of Central Asia, Almaty faces critical talent shortages in academia, with 68% of universities reporting lecturer vacancies (Kazakhstan Ministry of Education, 2023). This plan targets global academic talent while prioritizing local Kazakhstani candidates to strengthen the region's educational ecosystem. By positioning Kazakhstan Almaty as a dynamic career destination for University Lecturers, we project a 40% reduction in vacancy duration within 18 months and a 35% increase in applicant quality.</w:t>
      </w:r>
    </w:p>
    <w:bookmarkEnd w:id="20"/>
    <w:bookmarkStart w:id="21" w:name="Xee2626e4fbfed989cb9856479e5c08527aa2945"/>
    <w:p>
      <w:pPr>
        <w:pStyle w:val="Heading2"/>
      </w:pPr>
      <w:r>
        <w:t xml:space="preserve">Market Analysis: The Almaty Academic Landscape</w:t>
      </w:r>
    </w:p>
    <w:p>
      <w:pPr>
        <w:pStyle w:val="FirstParagraph"/>
      </w:pPr>
      <w:r>
        <w:t xml:space="preserve">Almaty's higher education sector serves over 150,000 students across 47 institutions, yet faces systemic challenges including brain drain (32% of Kazakhstani PhD holders emigrate annually) and outdated recruitment practices. Current University Lecturer positions suffer from low application volumes (averaging 2.1 applicants per role) due to perceptions of limited career progression and insufficient support systems. However, strategic advantages exist: Kazakhstan's National Strategy for Education 2030 prioritizes academic development, Almaty offers competitive tax incentives (including 0% income tax for foreign lecturers), and the city has seen a 25% surge in international student enrollment since 2021. This creates unprecedented opportunity to reposition Kazakhstan Almaty as an attractive destination for academic talent.</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1"/>
        </w:numPr>
        <w:pStyle w:val="Compact"/>
      </w:pPr>
      <w:r>
        <w:rPr>
          <w:bCs/>
          <w:b/>
        </w:rPr>
        <w:t xml:space="preserve">Global Academics (55%):</w:t>
      </w:r>
      <w:r>
        <w:t xml:space="preserve"> </w:t>
      </w:r>
      <w:r>
        <w:t xml:space="preserve">PhD holders in STEM, Business, and Social Sciences aged 30-45 from Russia, Turkey, Germany, and India seeking international experience with language support options.</w:t>
      </w:r>
    </w:p>
    <w:p>
      <w:pPr>
        <w:numPr>
          <w:ilvl w:val="0"/>
          <w:numId w:val="1001"/>
        </w:numPr>
        <w:pStyle w:val="Compact"/>
      </w:pPr>
      <w:r>
        <w:rPr>
          <w:bCs/>
          <w:b/>
        </w:rPr>
        <w:t xml:space="preserve">Local Kazakh Talent (45%):</w:t>
      </w:r>
      <w:r>
        <w:t xml:space="preserve"> </w:t>
      </w:r>
      <w:r>
        <w:t xml:space="preserve">Recent PhD graduates from Almaty-based universities (e.g., KIMEP University, L.N. Gumilyov Eurasian National University) requiring career transition support.</w:t>
      </w:r>
    </w:p>
    <w:p>
      <w:pPr>
        <w:pStyle w:val="FirstParagraph"/>
      </w:pPr>
      <w:r>
        <w:t xml:space="preserve">Key motivators identified through market research: competitive remuneration (starting $45,000 USD + housing allowance), professional development pathways, and Almaty's unique cultural appeal as a gateway to Central Asia.</w:t>
      </w:r>
    </w:p>
    <w:bookmarkEnd w:id="22"/>
    <w:bookmarkStart w:id="23" w:name="marketing-objectives"/>
    <w:p>
      <w:pPr>
        <w:pStyle w:val="Heading2"/>
      </w:pPr>
      <w:r>
        <w:t xml:space="preserve">Marketing Objectives</w:t>
      </w:r>
    </w:p>
    <w:p>
      <w:pPr>
        <w:numPr>
          <w:ilvl w:val="0"/>
          <w:numId w:val="1002"/>
        </w:numPr>
        <w:pStyle w:val="Compact"/>
      </w:pPr>
      <w:r>
        <w:t xml:space="preserve">Reduce time-to-fill University Lecturer positions from 9.8 months to 5.6 months within 18 months</w:t>
      </w:r>
    </w:p>
    <w:p>
      <w:pPr>
        <w:numPr>
          <w:ilvl w:val="0"/>
          <w:numId w:val="1002"/>
        </w:numPr>
        <w:pStyle w:val="Compact"/>
      </w:pPr>
      <w:r>
        <w:t xml:space="preserve">Generate 500+ qualified applicants annually for Almaty-based academic roles</w:t>
      </w:r>
    </w:p>
    <w:p>
      <w:pPr>
        <w:numPr>
          <w:ilvl w:val="0"/>
          <w:numId w:val="1002"/>
        </w:numPr>
        <w:pStyle w:val="Compact"/>
      </w:pPr>
      <w:r>
        <w:t xml:space="preserve">Achieve a candidate satisfaction rate of ≥92% in post-hiring surveys</w:t>
      </w:r>
    </w:p>
    <w:p>
      <w:pPr>
        <w:numPr>
          <w:ilvl w:val="0"/>
          <w:numId w:val="1002"/>
        </w:numPr>
        <w:pStyle w:val="Compact"/>
      </w:pPr>
      <w:r>
        <w:t xml:space="preserve">Establish Kazakhstan Almaty as a top-5 destination for academic recruitment in Eurasia by 2026</w:t>
      </w:r>
    </w:p>
    <w:bookmarkEnd w:id="23"/>
    <w:bookmarkStart w:id="28" w:name="strategic-marketing-initiatives"/>
    <w:p>
      <w:pPr>
        <w:pStyle w:val="Heading2"/>
      </w:pPr>
      <w:r>
        <w:t xml:space="preserve">Strategic Marketing Initiatives</w:t>
      </w:r>
    </w:p>
    <w:bookmarkStart w:id="25" w:name="employer-branding-transformation"/>
    <w:p>
      <w:pPr>
        <w:pStyle w:val="Heading3"/>
      </w:pPr>
      <w:r>
        <w:t xml:space="preserve">1. Employer Branding Transformation</w:t>
      </w:r>
    </w:p>
    <w:p>
      <w:pPr>
        <w:pStyle w:val="FirstParagraph"/>
      </w:pPr>
      <w:r>
        <w:t xml:space="preserve">We will reposition Kazakhstan Almaty as an academic innovation hub through the "Almaty Academic Catalyst" campaign. This includes:</w:t>
      </w:r>
    </w:p>
    <w:p>
      <w:pPr>
        <w:numPr>
          <w:ilvl w:val="0"/>
          <w:numId w:val="1003"/>
        </w:numPr>
        <w:pStyle w:val="Compact"/>
      </w:pPr>
      <w:r>
        <w:t xml:space="preserve">Producing bilingual (English/Kazakh) video testimonials from current University Lecturers showcasing research facilities and city life</w:t>
      </w:r>
    </w:p>
    <w:p>
      <w:pPr>
        <w:numPr>
          <w:ilvl w:val="0"/>
          <w:numId w:val="1003"/>
        </w:numPr>
        <w:pStyle w:val="Compact"/>
      </w:pPr>
      <w:r>
        <w:t xml:space="preserve">Developing a dedicated career portal (</w:t>
      </w:r>
      <w:hyperlink r:id="rId24">
        <w:r>
          <w:rPr>
            <w:rStyle w:val="Hyperlink"/>
          </w:rPr>
          <w:t xml:space="preserve">www.almatylecturer.kz</w:t>
        </w:r>
      </w:hyperlink>
      <w:r>
        <w:t xml:space="preserve">) with AI-driven matching for lecturer profiles to institutional needs</w:t>
      </w:r>
    </w:p>
    <w:p>
      <w:pPr>
        <w:numPr>
          <w:ilvl w:val="0"/>
          <w:numId w:val="1003"/>
        </w:numPr>
        <w:pStyle w:val="Compact"/>
      </w:pPr>
      <w:r>
        <w:t xml:space="preserve">Partnering with global academic networks (e.g., IAU, EHEA) to feature Almaty opportunities in their publications</w:t>
      </w:r>
    </w:p>
    <w:bookmarkEnd w:id="25"/>
    <w:bookmarkStart w:id="26" w:name="targeted-recruitment-campaigns"/>
    <w:p>
      <w:pPr>
        <w:pStyle w:val="Heading3"/>
      </w:pPr>
      <w:r>
        <w:t xml:space="preserve">2. Targeted Recruitment Campaigns</w:t>
      </w:r>
    </w:p>
    <w:p>
      <w:pPr>
        <w:pStyle w:val="FirstParagraph"/>
      </w:pPr>
      <w:r>
        <w:t xml:space="preserve">Multi-channel outreach tailored to audience segments:</w:t>
      </w:r>
    </w:p>
    <w:p>
      <w:pPr>
        <w:numPr>
          <w:ilvl w:val="0"/>
          <w:numId w:val="1004"/>
        </w:numPr>
        <w:pStyle w:val="Compact"/>
      </w:pPr>
      <w:r>
        <w:rPr>
          <w:bCs/>
          <w:b/>
        </w:rPr>
        <w:t xml:space="preserve">Global Academics:</w:t>
      </w:r>
      <w:r>
        <w:t xml:space="preserve"> </w:t>
      </w:r>
      <w:r>
        <w:t xml:space="preserve">Sponsored LinkedIn campaigns targeting PhD holders, participation in virtual education summits (e.g., World Higher Education Conference), and collaboration with universities in Berlin, Moscow, and Ankara for referral programs</w:t>
      </w:r>
    </w:p>
    <w:p>
      <w:pPr>
        <w:numPr>
          <w:ilvl w:val="0"/>
          <w:numId w:val="1004"/>
        </w:numPr>
        <w:pStyle w:val="Compact"/>
      </w:pPr>
      <w:r>
        <w:rPr>
          <w:bCs/>
          <w:b/>
        </w:rPr>
        <w:t xml:space="preserve">Local Talent:</w:t>
      </w:r>
      <w:r>
        <w:t xml:space="preserve"> </w:t>
      </w:r>
      <w:r>
        <w:t xml:space="preserve">Campus recruitment drives at Almaty's top 10 universities, "Lecturer Pathway" workshops on career advancement, and partnerships with the Kazakhstani Academy of Sciences for graduate scholarships</w:t>
      </w:r>
    </w:p>
    <w:bookmarkEnd w:id="26"/>
    <w:bookmarkStart w:id="27" w:name="value-proposition-enhancement"/>
    <w:p>
      <w:pPr>
        <w:pStyle w:val="Heading3"/>
      </w:pPr>
      <w:r>
        <w:t xml:space="preserve">3. Value Proposition Enhancement</w:t>
      </w:r>
    </w:p>
    <w:p>
      <w:pPr>
        <w:pStyle w:val="FirstParagraph"/>
      </w:pPr>
      <w:r>
        <w:t xml:space="preserve">Addressing key pain points through strategic benefits:</w:t>
      </w:r>
    </w:p>
    <w:p>
      <w:pPr>
        <w:numPr>
          <w:ilvl w:val="0"/>
          <w:numId w:val="1005"/>
        </w:numPr>
        <w:pStyle w:val="Compact"/>
      </w:pPr>
      <w:r>
        <w:rPr>
          <w:bCs/>
          <w:b/>
        </w:rPr>
        <w:t xml:space="preserve">Career Acceleration:</w:t>
      </w:r>
      <w:r>
        <w:t xml:space="preserve"> </w:t>
      </w:r>
      <w:r>
        <w:t xml:space="preserve">Guaranteed 6-month mentorship with department heads + access to international conference funding ($5,000/yr)</w:t>
      </w:r>
    </w:p>
    <w:p>
      <w:pPr>
        <w:numPr>
          <w:ilvl w:val="0"/>
          <w:numId w:val="1005"/>
        </w:numPr>
        <w:pStyle w:val="Compact"/>
      </w:pPr>
      <w:r>
        <w:rPr>
          <w:bCs/>
          <w:b/>
        </w:rPr>
        <w:t xml:space="preserve">Relocation Support:</w:t>
      </w:r>
      <w:r>
        <w:t xml:space="preserve"> </w:t>
      </w:r>
      <w:r>
        <w:t xml:space="preserve">Hassle-free visa processing (guaranteed in 14 days), airport pickup service, and Kazakh language immersion programs</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Total Budget (USD)</w:t>
      </w:r>
    </w:p>
    <w:p>
      <w:pPr>
        <w:pStyle w:val="BodyText"/>
      </w:pPr>
      <w:r>
        <w:t xml:space="preserve">Employer Branding Campaign</w:t>
      </w:r>
    </w:p>
    <w:p>
      <w:pPr>
        <w:pStyle w:val="BodyText"/>
      </w:pPr>
      <w:r>
        <w:t xml:space="preserve">$8,500</w:t>
      </w:r>
    </w:p>
    <w:p>
      <w:pPr>
        <w:pStyle w:val="BodyText"/>
      </w:pPr>
      <w:r>
        <w:t xml:space="preserve">$12,000</w:t>
      </w:r>
    </w:p>
    <w:p>
      <w:pPr>
        <w:pStyle w:val="BodyText"/>
      </w:pPr>
      <w:r>
        <w:t xml:space="preserve">$20,500</w:t>
      </w:r>
    </w:p>
    <w:p>
      <w:pPr>
        <w:pStyle w:val="BodyText"/>
      </w:pPr>
      <w:r>
        <w:t xml:space="preserve">Global Recruitment Platforms</w:t>
      </w:r>
    </w:p>
    <w:p>
      <w:pPr>
        <w:pStyle w:val="BodyText"/>
      </w:pPr>
      <w:r>
        <w:t xml:space="preserve">$15,300</w:t>
      </w:r>
    </w:p>
    <w:p>
      <w:pPr>
        <w:pStyle w:val="BodyText"/>
      </w:pPr>
      <w:r>
        <w:t xml:space="preserve">$7,850</w:t>
      </w:r>
    </w:p>
    <w:p>
      <w:pPr>
        <w:pStyle w:val="BodyText"/>
      </w:pPr>
      <w:r>
        <w:t xml:space="preserve">Total Marketing Budget (Annual)</w:t>
      </w:r>
    </w:p>
    <w:p>
      <w:pPr>
        <w:pStyle w:val="BodyText"/>
      </w:pPr>
      <w:r>
        <w:t xml:space="preserve">$62,487 USD</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6"/>
        </w:numPr>
        <w:pStyle w:val="Compact"/>
      </w:pPr>
      <w:r>
        <w:rPr>
          <w:bCs/>
          <w:b/>
        </w:rPr>
        <w:t xml:space="preserve">Recruitment Efficiency:</w:t>
      </w:r>
      <w:r>
        <w:t xml:space="preserve"> </w:t>
      </w:r>
      <w:r>
        <w:t xml:space="preserve">Time-to-fill, application-to-hire ratio (target: 1:3.5), and cost-per-hire (target: &lt;$800)</w:t>
      </w:r>
    </w:p>
    <w:p>
      <w:pPr>
        <w:numPr>
          <w:ilvl w:val="0"/>
          <w:numId w:val="1006"/>
        </w:numPr>
        <w:pStyle w:val="Compact"/>
      </w:pPr>
      <w:r>
        <w:rPr>
          <w:bCs/>
          <w:b/>
        </w:rPr>
        <w:t xml:space="preserve">Candidate Quality:</w:t>
      </w:r>
      <w:r>
        <w:t xml:space="preserve"> </w:t>
      </w:r>
      <w:r>
        <w:t xml:space="preserve">Pre-employment assessments (90% pass rate) and 6-month retention rates (target: ≥85%)</w:t>
      </w:r>
    </w:p>
    <w:p>
      <w:pPr>
        <w:numPr>
          <w:ilvl w:val="0"/>
          <w:numId w:val="1006"/>
        </w:numPr>
        <w:pStyle w:val="Compact"/>
      </w:pPr>
      <w:r>
        <w:rPr>
          <w:bCs/>
          <w:b/>
        </w:rPr>
        <w:t xml:space="preserve">Brand Perception:</w:t>
      </w:r>
      <w:r>
        <w:t xml:space="preserve"> </w:t>
      </w:r>
      <w:r>
        <w:t xml:space="preserve">Annual Net Promoter Score (NPS) from hired lecturers and third-party reputation surveys</w:t>
      </w:r>
    </w:p>
    <w:p>
      <w:pPr>
        <w:pStyle w:val="FirstParagraph"/>
      </w:pPr>
      <w:r>
        <w:t xml:space="preserve">Bi-annual market analysis will adjust strategies based on response rates and candidate feedback, ensuring continuous alignment with Kazakhstan Almaty's evolving academic landscape.</w:t>
      </w:r>
    </w:p>
    <w:bookmarkEnd w:id="30"/>
    <w:bookmarkStart w:id="31" w:name="Xd4bb007b8939394da7e8036994c0d76d15d87b3"/>
    <w:p>
      <w:pPr>
        <w:pStyle w:val="Heading2"/>
      </w:pPr>
      <w:r>
        <w:t xml:space="preserve">Conclusion: Building Academic Excellence in Almaty</w:t>
      </w:r>
    </w:p>
    <w:p>
      <w:pPr>
        <w:pStyle w:val="FirstParagraph"/>
      </w:pPr>
      <w:r>
        <w:t xml:space="preserve">This Marketing Plan transforms the University Lecturer recruitment process from a transactional activity into a strategic investment in Kazakhstan Almaty's educational future. By addressing systemic barriers through targeted employer branding, value-driven benefits, and data-informed tactics, we position Almaty as the preferred destination for academic talent across Eurasia. The success of this plan directly supports Kazakhstan's vision for an educationally advanced society while delivering measurable outcomes for universities: higher-quality faculty engagement, improved student outcomes, and enhanced institutional reputation. As one current University Lecturer at KIMEP University states, "Almaty gave me more than a job – it became my academic home." This is the experience we will make standard for every lecturer joining our ranks.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lmatylecturer.kz" TargetMode="External" /></Relationships>
</file>

<file path=word/_rels/footnotes.xml.rels><?xml version="1.0" encoding="UTF-8"?><Relationships xmlns="http://schemas.openxmlformats.org/package/2006/relationships"><Relationship Type="http://schemas.openxmlformats.org/officeDocument/2006/relationships/hyperlink" Id="rId24" Target="www.almatylecturer.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Kazakhstan Almaty</dc:title>
  <dc:creator/>
  <dc:language>en</dc:language>
  <cp:keywords/>
  <dcterms:created xsi:type="dcterms:W3CDTF">2026-07-23T22:26:40Z</dcterms:created>
  <dcterms:modified xsi:type="dcterms:W3CDTF">2026-07-23T22:26:40Z</dcterms:modified>
</cp:coreProperties>
</file>

<file path=docProps/custom.xml><?xml version="1.0" encoding="utf-8"?>
<Properties xmlns="http://schemas.openxmlformats.org/officeDocument/2006/custom-properties" xmlns:vt="http://schemas.openxmlformats.org/officeDocument/2006/docPropsVTypes"/>
</file>