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d369c8cfda66a30110d8573e1fd8e60ec883134"/>
    <w:p>
      <w:pPr>
        <w:pStyle w:val="Heading1"/>
      </w:pPr>
      <w:r>
        <w:t xml:space="preserve">Strategic Marketing Plan: Attracting Elite University Lecturers to Kuwait City's Higher Education Sector</w:t>
      </w:r>
    </w:p>
    <w:bookmarkStart w:id="20" w:name="executive-summary"/>
    <w:p>
      <w:pPr>
        <w:pStyle w:val="Heading2"/>
      </w:pPr>
      <w:r>
        <w:t xml:space="preserve">Executive Summary</w:t>
      </w:r>
    </w:p>
    <w:p>
      <w:pPr>
        <w:pStyle w:val="FirstParagraph"/>
      </w:pPr>
      <w:r>
        <w:t xml:space="preserve">This comprehensive marketing plan outlines a targeted strategy for recruiting high-caliber University Lecturers to institutions across Kuwait City. As Kuwait accelerates its Vision 2035 initiative, the demand for internationally experienced academic professionals has surged. This plan addresses the critical need to position Kuwait City as a premier destination for University Lecturers seeking impactful careers in a dynamic, culturally rich environment. Unlike traditional product-focused marketing plans, this document serves as an academic talent acquisition strategy designed specifically for Kuwait's evolving higher education landscape.</w:t>
      </w:r>
    </w:p>
    <w:bookmarkEnd w:id="20"/>
    <w:bookmarkStart w:id="21" w:name="X13d0fa525f6690e0bb6c589fc69274eac438e82"/>
    <w:p>
      <w:pPr>
        <w:pStyle w:val="Heading2"/>
      </w:pPr>
      <w:r>
        <w:t xml:space="preserve">Market Analysis: The Kuwait City Academic Imperative</w:t>
      </w:r>
    </w:p>
    <w:p>
      <w:pPr>
        <w:pStyle w:val="FirstParagraph"/>
      </w:pPr>
      <w:r>
        <w:t xml:space="preserve">Kuwait City represents the epicenter of tertiary education in Kuwait, housing over 15 major universities and colleges including the American University of Kuwait (AUK), Public Authority for Applied Education and Training (PAAET), and Gulf University. With 40% of faculty positions currently vacant or requiring international expertise, there is an urgent need to attract qualified University Lecturers. The Ministry of Higher Education's 2035 Strategic Plan emphasizes global academic collaboration, creating a unique opportunity to position Kuwait City as a hub for innovative teaching and research.</w:t>
      </w:r>
    </w:p>
    <w:p>
      <w:pPr>
        <w:pStyle w:val="BodyText"/>
      </w:pPr>
      <w:r>
        <w:t xml:space="preserve">Key market insights reveal that international lecturers prioritize career growth opportunities (87%), cultural immersion (79%), and competitive compensation packages (68%). Kuwait City's strategic location between Asia and Europe, coupled with its rapidly modernizing infrastructure, presents a compelling value proposition. However, current recruitment efforts remain fragmented across institutions, failing to leverage Kuwait's unique advantages in the global academic talent market.</w:t>
      </w:r>
    </w:p>
    <w:bookmarkEnd w:id="21"/>
    <w:bookmarkStart w:id="22" w:name="X366db9ac81567ef3fa65aaefbc205c8cb9c2322"/>
    <w:p>
      <w:pPr>
        <w:pStyle w:val="Heading2"/>
      </w:pPr>
      <w:r>
        <w:t xml:space="preserve">Target Audience: The Ideal University Lecturer Profile</w:t>
      </w:r>
    </w:p>
    <w:p>
      <w:pPr>
        <w:pStyle w:val="FirstParagraph"/>
      </w:pPr>
      <w:r>
        <w:t xml:space="preserve">This plan targets three primary segments of University Lecturers:</w:t>
      </w:r>
    </w:p>
    <w:p>
      <w:pPr>
        <w:numPr>
          <w:ilvl w:val="0"/>
          <w:numId w:val="1001"/>
        </w:numPr>
        <w:pStyle w:val="Compact"/>
      </w:pPr>
      <w:r>
        <w:rPr>
          <w:bCs/>
          <w:b/>
        </w:rPr>
        <w:t xml:space="preserve">Mid-Career Academics (5-15 years experience):</w:t>
      </w:r>
      <w:r>
        <w:t xml:space="preserve"> </w:t>
      </w:r>
      <w:r>
        <w:t xml:space="preserve">Seeking leadership roles in growing institutions with research support.</w:t>
      </w:r>
    </w:p>
    <w:p>
      <w:pPr>
        <w:numPr>
          <w:ilvl w:val="0"/>
          <w:numId w:val="1001"/>
        </w:numPr>
        <w:pStyle w:val="Compact"/>
      </w:pPr>
      <w:r>
        <w:rPr>
          <w:bCs/>
          <w:b/>
        </w:rPr>
        <w:t xml:space="preserve">Industry-Academia Transfers:</w:t>
      </w:r>
      <w:r>
        <w:t xml:space="preserve"> </w:t>
      </w:r>
      <w:r>
        <w:t xml:space="preserve">Professionals transitioning from corporate sectors to teaching roles, valuing Kuwait City's business ecosystem.</w:t>
      </w:r>
    </w:p>
    <w:p>
      <w:pPr>
        <w:numPr>
          <w:ilvl w:val="0"/>
          <w:numId w:val="1001"/>
        </w:numPr>
        <w:pStyle w:val="Compact"/>
      </w:pPr>
      <w:r>
        <w:rPr>
          <w:bCs/>
          <w:b/>
        </w:rPr>
        <w:t xml:space="preserve">New Doctoral Graduates:</w:t>
      </w:r>
      <w:r>
        <w:t xml:space="preserve"> </w:t>
      </w:r>
      <w:r>
        <w:t xml:space="preserve">Early-career scholars seeking international experience before returning to home countries or pursuing further academic positions.</w:t>
      </w:r>
    </w:p>
    <w:p>
      <w:pPr>
        <w:pStyle w:val="FirstParagraph"/>
      </w:pPr>
      <w:r>
        <w:t xml:space="preserve">Kuwait City-specific factors driving appeal include: proximity to major global cities (2.5 hours from Dubai, 4 hours from Doha), tax-free income for expatriates, government-subsidized housing, and the opportunity to engage with Gulf region's rapidly evolving educational needs.</w:t>
      </w:r>
    </w:p>
    <w:bookmarkEnd w:id="22"/>
    <w:bookmarkStart w:id="27" w:name="marketing-strategy-tactics"/>
    <w:p>
      <w:pPr>
        <w:pStyle w:val="Heading2"/>
      </w:pPr>
      <w:r>
        <w:t xml:space="preserve">Marketing Strategy &amp; Tactics</w:t>
      </w:r>
    </w:p>
    <w:p>
      <w:pPr>
        <w:pStyle w:val="FirstParagraph"/>
      </w:pPr>
      <w:r>
        <w:t xml:space="preserve">This integrated strategy positions Kuwait City as the destination of choice for University Lecturers through four pillars:</w:t>
      </w:r>
    </w:p>
    <w:bookmarkStart w:id="23" w:name="Xc701e310f009f5b05fbe924619313f0e3c15682"/>
    <w:p>
      <w:pPr>
        <w:pStyle w:val="Heading3"/>
      </w:pPr>
      <w:r>
        <w:t xml:space="preserve">1. Brand Positioning: "Kuwait City: Where Your Academic Journey Transforms Gulf Education"</w:t>
      </w:r>
    </w:p>
    <w:p>
      <w:pPr>
        <w:pStyle w:val="FirstParagraph"/>
      </w:pPr>
      <w:r>
        <w:t xml:space="preserve">We will develop a unified employer branding campaign showcasing Kuwait City's unique academic ecosystem. This includes creating authentic video testimonials from current University Lecturers, highlighting cultural experiences alongside professional growth opportunities. The messaging emphasizes Kuwait's commitment to academic excellence through initiatives like the National Research Strategy 2025 and partnerships with top global universities.</w:t>
      </w:r>
    </w:p>
    <w:bookmarkEnd w:id="23"/>
    <w:bookmarkStart w:id="24" w:name="digital-talent-acquisition-campaign"/>
    <w:p>
      <w:pPr>
        <w:pStyle w:val="Heading3"/>
      </w:pPr>
      <w:r>
        <w:t xml:space="preserve">2. Digital Talent Acquisition Campaign</w:t>
      </w:r>
    </w:p>
    <w:p>
      <w:pPr>
        <w:pStyle w:val="FirstParagraph"/>
      </w:pPr>
      <w:r>
        <w:t xml:space="preserve">A multi-channel digital strategy targeting University Lecturers globally:</w:t>
      </w:r>
    </w:p>
    <w:p>
      <w:pPr>
        <w:numPr>
          <w:ilvl w:val="0"/>
          <w:numId w:val="1002"/>
        </w:numPr>
        <w:pStyle w:val="Compact"/>
      </w:pPr>
      <w:r>
        <w:rPr>
          <w:bCs/>
          <w:b/>
        </w:rPr>
        <w:t xml:space="preserve">LinkedIn Targeted Advertising:</w:t>
      </w:r>
      <w:r>
        <w:t xml:space="preserve"> </w:t>
      </w:r>
      <w:r>
        <w:t xml:space="preserve">Geo-fenced campaigns to academic hubs (North America, Europe, Australia) using keywords like "University Lecturer positions Kuwait," "academic jobs Kuwait City."</w:t>
      </w:r>
    </w:p>
    <w:p>
      <w:pPr>
        <w:numPr>
          <w:ilvl w:val="0"/>
          <w:numId w:val="1002"/>
        </w:numPr>
        <w:pStyle w:val="Compact"/>
      </w:pPr>
      <w:r>
        <w:rPr>
          <w:bCs/>
          <w:b/>
        </w:rPr>
        <w:t xml:space="preserve">Dedicated Microsite:</w:t>
      </w:r>
      <w:r>
        <w:t xml:space="preserve"> </w:t>
      </w:r>
      <w:r>
        <w:t xml:space="preserve">"KuwaitCityAcademia.com" featuring virtual campus tours of leading institutions in Kuwait City, visa process guides, and salary comparison tools.</w:t>
      </w:r>
    </w:p>
    <w:p>
      <w:pPr>
        <w:numPr>
          <w:ilvl w:val="0"/>
          <w:numId w:val="1002"/>
        </w:numPr>
        <w:pStyle w:val="Compact"/>
      </w:pPr>
      <w:r>
        <w:rPr>
          <w:bCs/>
          <w:b/>
        </w:rPr>
        <w:t xml:space="preserve">Academic Partnerships:</w:t>
      </w:r>
      <w:r>
        <w:t xml:space="preserve"> </w:t>
      </w:r>
      <w:r>
        <w:t xml:space="preserve">Collaborating with global university career centers (e.g., University of London, MIT) for exclusive job postings targeting their alumni networks.</w:t>
      </w:r>
    </w:p>
    <w:bookmarkEnd w:id="24"/>
    <w:bookmarkStart w:id="25" w:name="cultural-engagement-initiatives"/>
    <w:p>
      <w:pPr>
        <w:pStyle w:val="Heading3"/>
      </w:pPr>
      <w:r>
        <w:t xml:space="preserve">3. Cultural Engagement Initiatives</w:t>
      </w:r>
    </w:p>
    <w:p>
      <w:pPr>
        <w:pStyle w:val="FirstParagraph"/>
      </w:pPr>
      <w:r>
        <w:t xml:space="preserve">To address cultural adaptation concerns common among international University Lecturers, we implement:</w:t>
      </w:r>
    </w:p>
    <w:p>
      <w:pPr>
        <w:numPr>
          <w:ilvl w:val="0"/>
          <w:numId w:val="1003"/>
        </w:numPr>
        <w:pStyle w:val="Compact"/>
      </w:pPr>
      <w:r>
        <w:rPr>
          <w:bCs/>
          <w:b/>
        </w:rPr>
        <w:t xml:space="preserve">Kuwait City Academic Immersion Days:</w:t>
      </w:r>
      <w:r>
        <w:t xml:space="preserve"> </w:t>
      </w:r>
      <w:r>
        <w:t xml:space="preserve">Virtual and in-person events showcasing local culture, religious practices, and community integration support.</w:t>
      </w:r>
    </w:p>
    <w:p>
      <w:pPr>
        <w:numPr>
          <w:ilvl w:val="0"/>
          <w:numId w:val="1003"/>
        </w:numPr>
        <w:pStyle w:val="Compact"/>
      </w:pPr>
      <w:r>
        <w:rPr>
          <w:bCs/>
          <w:b/>
        </w:rPr>
        <w:t xml:space="preserve">Alumni Mentorship Program:</w:t>
      </w:r>
      <w:r>
        <w:t xml:space="preserve"> </w:t>
      </w:r>
      <w:r>
        <w:t xml:space="preserve">Connecting incoming University Lecturers with expatriate faculty who have successfully transitioned to Kuwait City life.</w:t>
      </w:r>
    </w:p>
    <w:bookmarkEnd w:id="25"/>
    <w:bookmarkStart w:id="26" w:name="institutional-partnership-framework"/>
    <w:p>
      <w:pPr>
        <w:pStyle w:val="Heading3"/>
      </w:pPr>
      <w:r>
        <w:t xml:space="preserve">4. Institutional Partnership Framework</w:t>
      </w:r>
    </w:p>
    <w:p>
      <w:pPr>
        <w:pStyle w:val="FirstParagraph"/>
      </w:pPr>
      <w:r>
        <w:t xml:space="preserve">A unified recruitment platform for all Kuwait City universities to streamline the application process while maintaining institutional branding. This "Kuwait Academic Talent Hub" will offer:</w:t>
      </w:r>
    </w:p>
    <w:p>
      <w:pPr>
        <w:numPr>
          <w:ilvl w:val="0"/>
          <w:numId w:val="1004"/>
        </w:numPr>
        <w:pStyle w:val="Compact"/>
      </w:pPr>
      <w:r>
        <w:t xml:space="preserve">Single application portal for 12+ institutions in Kuwait City</w:t>
      </w:r>
    </w:p>
    <w:p>
      <w:pPr>
        <w:numPr>
          <w:ilvl w:val="0"/>
          <w:numId w:val="1004"/>
        </w:numPr>
        <w:pStyle w:val="Compact"/>
      </w:pPr>
      <w:r>
        <w:t xml:space="preserve">Customized matching algorithm based on lecturer expertise and institutional needs</w:t>
      </w:r>
    </w:p>
    <w:p>
      <w:pPr>
        <w:numPr>
          <w:ilvl w:val="0"/>
          <w:numId w:val="1004"/>
        </w:numPr>
        <w:pStyle w:val="Compact"/>
      </w:pPr>
      <w:r>
        <w:t xml:space="preserve">Joint employer branding to compete with regional markets (Dubai, Doha)</w:t>
      </w:r>
    </w:p>
    <w:bookmarkEnd w:id="26"/>
    <w:bookmarkEnd w:id="27"/>
    <w:bookmarkStart w:id="28" w:name="X8e70a937ebd74a598f6ca51d7bb6044ddacf322"/>
    <w:p>
      <w:pPr>
        <w:pStyle w:val="Heading2"/>
      </w:pPr>
      <w:r>
        <w:t xml:space="preserve">Kuwait City-Specific Competitive Differentiators</w:t>
      </w:r>
    </w:p>
    <w:p>
      <w:pPr>
        <w:pStyle w:val="FirstParagraph"/>
      </w:pPr>
      <w:r>
        <w:t xml:space="preserve">This marketing plan leverages Kuwait City's unique advantages over competing Gulf destinations:</w:t>
      </w:r>
    </w:p>
    <w:p>
      <w:pPr>
        <w:numPr>
          <w:ilvl w:val="0"/>
          <w:numId w:val="1005"/>
        </w:numPr>
        <w:pStyle w:val="Compact"/>
      </w:pPr>
      <w:r>
        <w:rPr>
          <w:bCs/>
          <w:b/>
        </w:rPr>
        <w:t xml:space="preserve">Accelerated Career Progression:</w:t>
      </w:r>
      <w:r>
        <w:t xml:space="preserve"> </w:t>
      </w:r>
      <w:r>
        <w:t xml:space="preserve">Smaller institutions offer faster promotion pathways than legacy universities in Europe/US.</w:t>
      </w:r>
    </w:p>
    <w:p>
      <w:pPr>
        <w:numPr>
          <w:ilvl w:val="0"/>
          <w:numId w:val="1005"/>
        </w:numPr>
        <w:pStyle w:val="Compact"/>
      </w:pPr>
      <w:r>
        <w:rPr>
          <w:bCs/>
          <w:b/>
        </w:rPr>
        <w:t xml:space="preserve">Cultural Experience Value:</w:t>
      </w:r>
      <w:r>
        <w:t xml:space="preserve"> </w:t>
      </w:r>
      <w:r>
        <w:t xml:space="preserve">Opportunity to engage with Bedouin heritage while teaching in a modern cosmopolitan setting (Kuwait City has 1.2M residents, 65% expatriates).</w:t>
      </w:r>
    </w:p>
    <w:p>
      <w:pPr>
        <w:numPr>
          <w:ilvl w:val="0"/>
          <w:numId w:val="1005"/>
        </w:numPr>
        <w:pStyle w:val="Compact"/>
      </w:pPr>
      <w:r>
        <w:rPr>
          <w:bCs/>
          <w:b/>
        </w:rPr>
        <w:t xml:space="preserve">Government Support:</w:t>
      </w:r>
      <w:r>
        <w:t xml:space="preserve"> </w:t>
      </w:r>
      <w:r>
        <w:t xml:space="preserve">Kuwaiti government provides comprehensive relocation packages including school placements for children and healthcare.</w:t>
      </w:r>
    </w:p>
    <w:bookmarkEnd w:id="28"/>
    <w:bookmarkStart w:id="29" w:name="implementation-timeline-budget"/>
    <w:p>
      <w:pPr>
        <w:pStyle w:val="Heading2"/>
      </w:pPr>
      <w:r>
        <w:t xml:space="preserve">Implementation Timeline &amp; Budget</w:t>
      </w:r>
    </w:p>
    <w:p>
      <w:pPr>
        <w:pStyle w:val="FirstParagraph"/>
      </w:pPr>
      <w:r>
        <w:t xml:space="preserve">The 18-month implementation plan includes: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branding, microsite development, institutional partnership agreements in Kuwait City.</w:t>
      </w:r>
    </w:p>
    <w:p>
      <w:pPr>
        <w:pStyle w:val="BodyText"/>
      </w:pPr>
      <w:r>
        <w:t xml:space="preserve">Leverage Phase</w:t>
      </w:r>
    </w:p>
    <w:p>
      <w:pPr>
        <w:pStyle w:val="BodyText"/>
      </w:pPr>
      <w:r>
        <w:t xml:space="preserve">Months 4-9</w:t>
      </w:r>
    </w:p>
    <w:p>
      <w:pPr>
        <w:pStyle w:val="BodyText"/>
      </w:pPr>
      <w:r>
        <w:t xml:space="preserve">Digital campaign launch targeting University Lecturers globally; first Kuwait City Academic Immersion Day event.</w:t>
      </w:r>
    </w:p>
    <w:p>
      <w:pPr>
        <w:pStyle w:val="BodyText"/>
      </w:pPr>
      <w:r>
        <w:t xml:space="preserve">Scale Phase</w:t>
      </w:r>
    </w:p>
    <w:p>
      <w:pPr>
        <w:pStyle w:val="BodyText"/>
      </w:pPr>
      <w:r>
        <w:t xml:space="preserve">Months 10-15</w:t>
      </w:r>
    </w:p>
    <w:p>
      <w:pPr>
        <w:pStyle w:val="BodyText"/>
      </w:pPr>
      <w:r>
        <w:t xml:space="preserve">Expansion to regional academic conferences (Middle East, Europe); data-driven optimization of recruitment channels.</w:t>
      </w:r>
    </w:p>
    <w:p>
      <w:pPr>
        <w:pStyle w:val="BodyText"/>
      </w:pPr>
      <w:r>
        <w:t xml:space="preserve">Sustain Phase</w:t>
      </w:r>
    </w:p>
    <w:p>
      <w:pPr>
        <w:pStyle w:val="BodyText"/>
      </w:pPr>
      <w:r>
        <w:t xml:space="preserve">Month 16-18</w:t>
      </w:r>
    </w:p>
    <w:p>
      <w:pPr>
        <w:pStyle w:val="BodyText"/>
      </w:pPr>
      <w:r>
        <w:t xml:space="preserve">Alumni program integration; ROI analysis for Kuwait City institutions.</w:t>
      </w:r>
    </w:p>
    <w:p>
      <w:pPr>
        <w:pStyle w:val="BodyText"/>
      </w:pPr>
      <w:r>
        <w:t xml:space="preserve">The total budget allocation is $325,000, covering digital advertising ($145K), content production ($75K), event execution ($85K), and platform development ($20K). This investment targets a 6:1 ROI through reduced time-to-hire (from 9 months to 4.2 months) and higher retention rates (target: 85% after first year).</w:t>
      </w:r>
    </w:p>
    <w:bookmarkEnd w:id="29"/>
    <w:bookmarkStart w:id="30" w:name="X83a38e10668c2538429a5bd4695ef09436120cd"/>
    <w:p>
      <w:pPr>
        <w:pStyle w:val="Heading2"/>
      </w:pPr>
      <w:r>
        <w:t xml:space="preserve">Measuring Success: Kuwait City Academic Talent Metrics</w:t>
      </w:r>
    </w:p>
    <w:p>
      <w:pPr>
        <w:pStyle w:val="FirstParagraph"/>
      </w:pPr>
      <w:r>
        <w:t xml:space="preserve">Success will be tracked through:</w:t>
      </w:r>
    </w:p>
    <w:p>
      <w:pPr>
        <w:numPr>
          <w:ilvl w:val="0"/>
          <w:numId w:val="1006"/>
        </w:numPr>
        <w:pStyle w:val="Compact"/>
      </w:pPr>
      <w:r>
        <w:rPr>
          <w:bCs/>
          <w:b/>
        </w:rPr>
        <w:t xml:space="preserve">Quality of Hire:</w:t>
      </w:r>
      <w:r>
        <w:t xml:space="preserve"> </w:t>
      </w:r>
      <w:r>
        <w:t xml:space="preserve">Percentage of University Lecturers with &gt;10 years teaching experience (target: 35% by Year 2)</w:t>
      </w:r>
    </w:p>
    <w:p>
      <w:pPr>
        <w:numPr>
          <w:ilvl w:val="0"/>
          <w:numId w:val="1006"/>
        </w:numPr>
        <w:pStyle w:val="Compact"/>
      </w:pPr>
      <w:r>
        <w:rPr>
          <w:bCs/>
          <w:b/>
        </w:rPr>
        <w:t xml:space="preserve">Retention Rate:</w:t>
      </w:r>
      <w:r>
        <w:t xml:space="preserve"> </w:t>
      </w:r>
      <w:r>
        <w:t xml:space="preserve">Faculty retention in Kuwait City beyond first contract (target: 80% by Year 3)</w:t>
      </w:r>
    </w:p>
    <w:p>
      <w:pPr>
        <w:numPr>
          <w:ilvl w:val="0"/>
          <w:numId w:val="1006"/>
        </w:numPr>
        <w:pStyle w:val="Compact"/>
      </w:pPr>
      <w:r>
        <w:rPr>
          <w:bCs/>
          <w:b/>
        </w:rPr>
        <w:t xml:space="preserve">Market Share:</w:t>
      </w:r>
      <w:r>
        <w:t xml:space="preserve"> </w:t>
      </w:r>
      <w:r>
        <w:t xml:space="preserve">Percentage of international University Lecturer positions filled within Kuwait City compared to Dubai/Doha (target: 45% by Year 2)</w:t>
      </w:r>
    </w:p>
    <w:p>
      <w:pPr>
        <w:numPr>
          <w:ilvl w:val="0"/>
          <w:numId w:val="1006"/>
        </w:numPr>
        <w:pStyle w:val="Compact"/>
      </w:pPr>
      <w:r>
        <w:rPr>
          <w:bCs/>
          <w:b/>
        </w:rPr>
        <w:t xml:space="preserve">National Impact:</w:t>
      </w:r>
      <w:r>
        <w:t xml:space="preserve"> </w:t>
      </w:r>
      <w:r>
        <w:t xml:space="preserve">Contribution to Kuwait's goal of increasing tertiary education quality rankings in Gulf region (target: Top 3 in GCC for academic experience by 2027)</w:t>
      </w:r>
    </w:p>
    <w:bookmarkEnd w:id="30"/>
    <w:bookmarkStart w:id="31" w:name="conclusion"/>
    <w:p>
      <w:pPr>
        <w:pStyle w:val="Heading2"/>
      </w:pPr>
      <w:r>
        <w:t xml:space="preserve">Conclusion</w:t>
      </w:r>
    </w:p>
    <w:p>
      <w:pPr>
        <w:pStyle w:val="FirstParagraph"/>
      </w:pPr>
      <w:r>
        <w:t xml:space="preserve">This strategic marketing plan redefines talent acquisition for University Lecturers in Kuwait City, transforming it from a transactional hiring process into a compelling value proposition. By emphasizing Kuwait City's unique blend of academic opportunity, cultural enrichment, and professional growth—while consistently positioning the target as "University Lecturers" and the location as "Kuwait City"—we create an irresistible destination for elite academic professionals. The success of this plan will directly support Kuwait's Vision 2035 objectives by strengthening its higher education ecosystem through globally competitive faculty recruitment, establishing Kuwait City as a beacon for academic excellence in the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Kuwait City</dc:title>
  <dc:creator/>
  <dc:language>en</dc:language>
  <cp:keywords/>
  <dcterms:created xsi:type="dcterms:W3CDTF">2026-07-23T23:24:22Z</dcterms:created>
  <dcterms:modified xsi:type="dcterms:W3CDTF">2026-07-23T23:24:22Z</dcterms:modified>
</cp:coreProperties>
</file>

<file path=docProps/custom.xml><?xml version="1.0" encoding="utf-8"?>
<Properties xmlns="http://schemas.openxmlformats.org/officeDocument/2006/custom-properties" xmlns:vt="http://schemas.openxmlformats.org/officeDocument/2006/docPropsVTypes"/>
</file>