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Positions</w:t>
      </w:r>
      <w:r>
        <w:t xml:space="preserve"> </w:t>
      </w:r>
      <w:r>
        <w:t xml:space="preserve">in</w:t>
      </w:r>
      <w:r>
        <w:t xml:space="preserve"> </w:t>
      </w:r>
      <w:r>
        <w:t xml:space="preserve">Yangon</w:t>
      </w:r>
    </w:p>
    <w:bookmarkStart w:id="32" w:name="X6c2367fedd07cb68a7f0e900a7fbcb9e5c4049e"/>
    <w:p>
      <w:pPr>
        <w:pStyle w:val="Heading1"/>
      </w:pPr>
      <w:r>
        <w:t xml:space="preserve">Comprehensive Marketing Plan for Attracting Qualified University Lecturers in Myanmar Yangon</w:t>
      </w:r>
    </w:p>
    <w:bookmarkStart w:id="20" w:name="executive-summary"/>
    <w:p>
      <w:pPr>
        <w:pStyle w:val="Heading2"/>
      </w:pPr>
      <w:r>
        <w:t xml:space="preserve">Executive Summary</w:t>
      </w:r>
    </w:p>
    <w:p>
      <w:pPr>
        <w:pStyle w:val="FirstParagraph"/>
      </w:pPr>
      <w:r>
        <w:t xml:space="preserve">This Marketing Plan outlines a strategic approach to recruit exceptional University Lecturers for tertiary institutions across Myanmar Yangon. With Yangon's education sector experiencing unprecedented growth—driven by expanding private universities, international collaborations, and rising student enrollment—the need for high-caliber academic professionals has never been more critical. This plan targets global and local candidates through culturally nuanced digital campaigns, institutional partnerships, and community engagement to position Yangon as a premier destination for academic careers in Southeast Asia.</w:t>
      </w:r>
    </w:p>
    <w:bookmarkEnd w:id="20"/>
    <w:bookmarkStart w:id="21" w:name="Xc5bfe632f24bd08514b5a6d4965c5effd709e1a"/>
    <w:p>
      <w:pPr>
        <w:pStyle w:val="Heading2"/>
      </w:pPr>
      <w:r>
        <w:t xml:space="preserve">Market Analysis: The Yangon Education Landscape</w:t>
      </w:r>
    </w:p>
    <w:p>
      <w:pPr>
        <w:pStyle w:val="FirstParagraph"/>
      </w:pPr>
      <w:r>
        <w:t xml:space="preserve">Yangon's higher education market is characterized by rapid expansion. Over 60 private universities now operate in the city, with enrollment surging by 35% since 2020 (Myanmar Ministry of Education, 2023). However, a severe shortage of qualified University Lecturers persists—only 48% of teaching positions are filled by locally trained academics. Key challenges include: (1) intense competition from Singapore/Thailand for talent, (2) limited awareness of Yangon's academic opportunities among international scholars, and (3) inadequate professional development pathways for existing faculty. Crucially, Myanmar Yangon's strategic location as a cultural and economic hub offers unique advantages: proximity to ASEAN markets, vibrant student communities, and government incentives for foreign educators.</w:t>
      </w:r>
    </w:p>
    <w:bookmarkEnd w:id="21"/>
    <w:bookmarkStart w:id="22" w:name="target-audience-definition"/>
    <w:p>
      <w:pPr>
        <w:pStyle w:val="Heading2"/>
      </w:pPr>
      <w:r>
        <w:t xml:space="preserve">Target Audience Definition</w:t>
      </w:r>
    </w:p>
    <w:p>
      <w:pPr>
        <w:pStyle w:val="FirstParagraph"/>
      </w:pPr>
      <w:r>
        <w:t xml:space="preserve">Our primary audience comprises three segments:</w:t>
      </w:r>
    </w:p>
    <w:p>
      <w:pPr>
        <w:numPr>
          <w:ilvl w:val="0"/>
          <w:numId w:val="1001"/>
        </w:numPr>
        <w:pStyle w:val="Compact"/>
      </w:pPr>
      <w:r>
        <w:rPr>
          <w:bCs/>
          <w:b/>
        </w:rPr>
        <w:t xml:space="preserve">International Academics (60%):</w:t>
      </w:r>
      <w:r>
        <w:t xml:space="preserve"> </w:t>
      </w:r>
      <w:r>
        <w:t xml:space="preserve">PhD holders from ASEAN nations, Australia, and North America seeking emerging-market opportunities with competitive salaries (e.g., 35% above local rates) and cultural immersion.</w:t>
      </w:r>
    </w:p>
    <w:p>
      <w:pPr>
        <w:numPr>
          <w:ilvl w:val="0"/>
          <w:numId w:val="1001"/>
        </w:numPr>
        <w:pStyle w:val="Compact"/>
      </w:pPr>
      <w:r>
        <w:rPr>
          <w:bCs/>
          <w:b/>
        </w:rPr>
        <w:t xml:space="preserve">Local Myanmar Graduates (30%):</w:t>
      </w:r>
      <w:r>
        <w:t xml:space="preserve"> </w:t>
      </w:r>
      <w:r>
        <w:t xml:space="preserve">Master's/PhD alumni of Yangon University or international programs craving domestic career advancement without emigration.</w:t>
      </w:r>
    </w:p>
    <w:p>
      <w:pPr>
        <w:numPr>
          <w:ilvl w:val="0"/>
          <w:numId w:val="1001"/>
        </w:numPr>
        <w:pStyle w:val="Compact"/>
      </w:pPr>
      <w:r>
        <w:rPr>
          <w:bCs/>
          <w:b/>
        </w:rPr>
        <w:t xml:space="preserve">Retired Educators (10%):</w:t>
      </w:r>
      <w:r>
        <w:t xml:space="preserve"> </w:t>
      </w:r>
      <w:r>
        <w:t xml:space="preserve">Experienced academics seeking flexible roles in Yangon's growing education ecosystem.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Recruit 45+ qualified University Lecturers for Yangon-based institutions by Q4 2025.</w:t>
      </w:r>
    </w:p>
    <w:p>
      <w:pPr>
        <w:numPr>
          <w:ilvl w:val="0"/>
          <w:numId w:val="1002"/>
        </w:numPr>
        <w:pStyle w:val="Compact"/>
      </w:pPr>
      <w:r>
        <w:t xml:space="preserve">Achieve 70% candidate diversity (30% international, 40% domestic) in new hires.</w:t>
      </w:r>
    </w:p>
    <w:p>
      <w:pPr>
        <w:numPr>
          <w:ilvl w:val="0"/>
          <w:numId w:val="1002"/>
        </w:numPr>
        <w:pStyle w:val="Compact"/>
      </w:pPr>
      <w:r>
        <w:t xml:space="preserve">Reduce time-to-hire by 25% through streamlined digital processes.</w:t>
      </w:r>
    </w:p>
    <w:p>
      <w:pPr>
        <w:numPr>
          <w:ilvl w:val="0"/>
          <w:numId w:val="1002"/>
        </w:numPr>
        <w:pStyle w:val="Compact"/>
      </w:pPr>
      <w:r>
        <w:t xml:space="preserve">Build brand recognition: Position Yangon as "Southeast Asia's Next Academic Hub" among global higher education networks.</w:t>
      </w:r>
    </w:p>
    <w:bookmarkEnd w:id="23"/>
    <w:bookmarkStart w:id="27" w:name="strategic-marketing-tactics"/>
    <w:p>
      <w:pPr>
        <w:pStyle w:val="Heading2"/>
      </w:pPr>
      <w:r>
        <w:t xml:space="preserve">Strategic Marketing Tactics</w:t>
      </w:r>
    </w:p>
    <w:bookmarkStart w:id="24" w:name="Xcb971cb682f2858c78953dd12a42ac88f704622"/>
    <w:p>
      <w:pPr>
        <w:pStyle w:val="Heading3"/>
      </w:pPr>
      <w:r>
        <w:t xml:space="preserve">1. Digital Campaigns Tailored to Myanmar Context</w:t>
      </w:r>
    </w:p>
    <w:p>
      <w:pPr>
        <w:pStyle w:val="FirstParagraph"/>
      </w:pPr>
      <w:r>
        <w:t xml:space="preserve">We leverage platforms dominant in Myanmar Yangon: Facebook (95% penetration), LinkedIn, and local portals like</w:t>
      </w:r>
      <w:r>
        <w:t xml:space="preserve"> </w:t>
      </w:r>
      <w:r>
        <w:rPr>
          <w:iCs/>
          <w:i/>
        </w:rPr>
        <w:t xml:space="preserve">Myanmar Times Education</w:t>
      </w:r>
      <w:r>
        <w:t xml:space="preserve">. Content will feature:</w:t>
      </w:r>
    </w:p>
    <w:p>
      <w:pPr>
        <w:numPr>
          <w:ilvl w:val="0"/>
          <w:numId w:val="1003"/>
        </w:numPr>
        <w:pStyle w:val="Compact"/>
      </w:pPr>
      <w:r>
        <w:t xml:space="preserve">Videos of current University Lecturers sharing "A Day in Yangon" experiences—highlighting affordable housing, cultural festivals, and institutional support.</w:t>
      </w:r>
    </w:p>
    <w:p>
      <w:pPr>
        <w:numPr>
          <w:ilvl w:val="0"/>
          <w:numId w:val="1003"/>
        </w:numPr>
        <w:pStyle w:val="Compact"/>
      </w:pPr>
      <w:r>
        <w:t xml:space="preserve">Testimonials from foreign lecturers now teaching in Yangon: "I earn 20% more than Singapore with a 50% lower cost of living."</w:t>
      </w:r>
    </w:p>
    <w:p>
      <w:pPr>
        <w:numPr>
          <w:ilvl w:val="0"/>
          <w:numId w:val="1003"/>
        </w:numPr>
        <w:pStyle w:val="Compact"/>
      </w:pPr>
      <w:r>
        <w:t xml:space="preserve">SEO-optimized blog posts addressing misconceptions: "Myanmar Yangon Teaching: Beyond the Headlines" (targeting keywords like "foreign lecturer jobs Yangon").</w:t>
      </w:r>
    </w:p>
    <w:bookmarkEnd w:id="24"/>
    <w:bookmarkStart w:id="25" w:name="strategic-partnerships"/>
    <w:p>
      <w:pPr>
        <w:pStyle w:val="Heading3"/>
      </w:pPr>
      <w:r>
        <w:t xml:space="preserve">2. Strategic Partnerships</w:t>
      </w:r>
    </w:p>
    <w:p>
      <w:pPr>
        <w:pStyle w:val="FirstParagraph"/>
      </w:pPr>
      <w:r>
        <w:t xml:space="preserve">Collaborate with key stakeholders in Myanmar's education ecosystem:</w:t>
      </w:r>
    </w:p>
    <w:p>
      <w:pPr>
        <w:numPr>
          <w:ilvl w:val="0"/>
          <w:numId w:val="1004"/>
        </w:numPr>
        <w:pStyle w:val="Compact"/>
      </w:pPr>
      <w:r>
        <w:rPr>
          <w:bCs/>
          <w:b/>
        </w:rPr>
        <w:t xml:space="preserve">University Alliances:</w:t>
      </w:r>
      <w:r>
        <w:t xml:space="preserve"> </w:t>
      </w:r>
      <w:r>
        <w:t xml:space="preserve">Partner with 10+ Yangon universities (e.g., Yangon University of Economics, Asian University) for co-branded recruitment events.</w:t>
      </w:r>
    </w:p>
    <w:p>
      <w:pPr>
        <w:numPr>
          <w:ilvl w:val="0"/>
          <w:numId w:val="1004"/>
        </w:numPr>
        <w:pStyle w:val="Compact"/>
      </w:pPr>
      <w:r>
        <w:rPr>
          <w:bCs/>
          <w:b/>
        </w:rPr>
        <w:t xml:space="preserve">International Bodies:</w:t>
      </w:r>
      <w:r>
        <w:t xml:space="preserve"> </w:t>
      </w:r>
      <w:r>
        <w:t xml:space="preserve">Work with ASEAN University Network and Fulbright Program to access global academic databases.</w:t>
      </w:r>
    </w:p>
    <w:p>
      <w:pPr>
        <w:numPr>
          <w:ilvl w:val="0"/>
          <w:numId w:val="1004"/>
        </w:numPr>
        <w:pStyle w:val="Compact"/>
      </w:pPr>
      <w:r>
        <w:rPr>
          <w:bCs/>
          <w:b/>
        </w:rPr>
        <w:t xml:space="preserve">Community Engagement:</w:t>
      </w:r>
      <w:r>
        <w:t xml:space="preserve"> </w:t>
      </w:r>
      <w:r>
        <w:t xml:space="preserve">Host free "Career Pathways" workshops at Yangon’s Thaketa Community Center, targeting local graduates.</w:t>
      </w:r>
    </w:p>
    <w:bookmarkEnd w:id="25"/>
    <w:bookmarkStart w:id="26" w:name="incentive-structures"/>
    <w:p>
      <w:pPr>
        <w:pStyle w:val="Heading3"/>
      </w:pPr>
      <w:r>
        <w:t xml:space="preserve">3. Incentive Structures</w:t>
      </w:r>
    </w:p>
    <w:p>
      <w:pPr>
        <w:pStyle w:val="FirstParagraph"/>
      </w:pPr>
      <w:r>
        <w:t xml:space="preserve">To overcome geographic barriers, we offer:</w:t>
      </w:r>
    </w:p>
    <w:p>
      <w:pPr>
        <w:numPr>
          <w:ilvl w:val="0"/>
          <w:numId w:val="1005"/>
        </w:numPr>
        <w:pStyle w:val="Compact"/>
      </w:pPr>
      <w:r>
        <w:rPr>
          <w:bCs/>
          <w:b/>
        </w:rPr>
        <w:t xml:space="preserve">Relocation Package:</w:t>
      </w:r>
      <w:r>
        <w:t xml:space="preserve"> </w:t>
      </w:r>
      <w:r>
        <w:t xml:space="preserve">12-month visa sponsorship + $500 housing stipend (critical for international applicants).</w:t>
      </w:r>
    </w:p>
    <w:p>
      <w:pPr>
        <w:numPr>
          <w:ilvl w:val="0"/>
          <w:numId w:val="1005"/>
        </w:numPr>
        <w:pStyle w:val="Compact"/>
      </w:pPr>
      <w:r>
        <w:rPr>
          <w:bCs/>
          <w:b/>
        </w:rPr>
        <w:t xml:space="preserve">Professional Development:</w:t>
      </w:r>
      <w:r>
        <w:t xml:space="preserve"> </w:t>
      </w:r>
      <w:r>
        <w:t xml:space="preserve">Annual $1,500 for conference attendance at ASEAN education summits.</w:t>
      </w:r>
    </w:p>
    <w:p>
      <w:pPr>
        <w:numPr>
          <w:ilvl w:val="0"/>
          <w:numId w:val="1005"/>
        </w:numPr>
        <w:pStyle w:val="Compact"/>
      </w:pPr>
      <w:r>
        <w:rPr>
          <w:bCs/>
          <w:b/>
        </w:rPr>
        <w:t xml:space="preserve">Cultural Integration:</w:t>
      </w:r>
      <w:r>
        <w:t xml:space="preserve"> </w:t>
      </w:r>
      <w:r>
        <w:t xml:space="preserve">Mandatory Yangon cultural orientation (e.g., language basics, local etiquette) before contract commencement.</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Digital Advertising (Facebook, LinkedIn)</w:t>
            </w:r>
          </w:p>
        </w:tc>
        <w:tc>
          <w:tcPr/>
          <w:p>
            <w:pPr>
              <w:pStyle w:val="Compact"/>
              <w:jc w:val="left"/>
            </w:pPr>
            <w:r>
              <w:t xml:space="preserve">35%</w:t>
            </w:r>
          </w:p>
        </w:tc>
        <w:tc>
          <w:tcPr/>
          <w:p>
            <w:pPr>
              <w:pStyle w:val="Compact"/>
              <w:jc w:val="left"/>
            </w:pPr>
            <w:r>
              <w:t xml:space="preserve">Geo-targeted campaigns in ASEAN/US/EU regions</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Covering event costs with universities/ASEAN bodies</w:t>
            </w:r>
          </w:p>
        </w:tc>
      </w:tr>
      <w:tr>
        <w:tc>
          <w:tcPr/>
          <w:p>
            <w:pPr>
              <w:pStyle w:val="Compact"/>
              <w:jc w:val="left"/>
            </w:pPr>
            <w:r>
              <w:t xml:space="preserve">Content Production (Videos, Blogs)</w:t>
            </w:r>
          </w:p>
        </w:tc>
        <w:tc>
          <w:tcPr/>
          <w:p>
            <w:pPr>
              <w:pStyle w:val="Compact"/>
              <w:jc w:val="left"/>
            </w:pPr>
            <w:r>
              <w:t xml:space="preserve">20%</w:t>
            </w:r>
          </w:p>
        </w:tc>
        <w:tc>
          <w:tcPr/>
          <w:p>
            <w:pPr>
              <w:pStyle w:val="Compact"/>
              <w:jc w:val="left"/>
            </w:pPr>
            <w:r>
              <w:t xml:space="preserve">Cultural storytelling assets for Yangon</w:t>
            </w:r>
          </w:p>
        </w:tc>
      </w:tr>
      <w:tr>
        <w:tc>
          <w:tcPr/>
          <w:p>
            <w:pPr>
              <w:pStyle w:val="Compact"/>
              <w:jc w:val="left"/>
            </w:pPr>
            <w:r>
              <w:t xml:space="preserve">Recruitment Events (Yangon)</w:t>
            </w:r>
          </w:p>
        </w:tc>
        <w:tc>
          <w:tcPr/>
          <w:p>
            <w:pPr>
              <w:pStyle w:val="Compact"/>
              <w:jc w:val="left"/>
            </w:pPr>
            <w:r>
              <w:t xml:space="preserve">15%</w:t>
            </w:r>
          </w:p>
        </w:tc>
        <w:tc>
          <w:tcPr/>
          <w:p>
            <w:pPr>
              <w:pStyle w:val="Compact"/>
              <w:jc w:val="left"/>
            </w:pPr>
            <w:r>
              <w:t xml:space="preserve">In-person career fairs at university campuses</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KPI tracking tools and reports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create localized content, launch digital campaigns.</w:t>
      </w:r>
    </w:p>
    <w:p>
      <w:pPr>
        <w:pStyle w:val="BodyText"/>
      </w:pPr>
      <w:r>
        <w:rPr>
          <w:bCs/>
          <w:b/>
        </w:rPr>
        <w:t xml:space="preserve">Months 4–6:</w:t>
      </w:r>
      <w:r>
        <w:t xml:space="preserve"> </w:t>
      </w:r>
      <w:r>
        <w:t xml:space="preserve">Host first Yangon campus career fair; deploy video testimonials across platforms.</w:t>
      </w:r>
    </w:p>
    <w:p>
      <w:pPr>
        <w:pStyle w:val="BodyText"/>
      </w:pPr>
      <w:r>
        <w:rPr>
          <w:bCs/>
          <w:b/>
        </w:rPr>
        <w:t xml:space="preserve">Months 7–9:</w:t>
      </w:r>
      <w:r>
        <w:t xml:space="preserve"> </w:t>
      </w:r>
      <w:r>
        <w:t xml:space="preserve">Partner with ASEAN University Network for joint recruitment drive; begin cultural orientation program.</w:t>
      </w:r>
    </w:p>
    <w:p>
      <w:pPr>
        <w:pStyle w:val="BodyText"/>
      </w:pPr>
      <w:r>
        <w:rPr>
          <w:bCs/>
          <w:b/>
        </w:rPr>
        <w:t xml:space="preserve">Months 10–12:</w:t>
      </w:r>
      <w:r>
        <w:t xml:space="preserve"> </w:t>
      </w:r>
      <w:r>
        <w:t xml:space="preserve">Analyze candidate quality metrics; refine strategy for Q1 2025 expansion.</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Quantitative:</w:t>
      </w:r>
      <w:r>
        <w:t xml:space="preserve"> </w:t>
      </w:r>
      <w:r>
        <w:t xml:space="preserve">Application volume, time-to-hire, retention rates (target: 85% after Year 1).</w:t>
      </w:r>
    </w:p>
    <w:p>
      <w:pPr>
        <w:numPr>
          <w:ilvl w:val="0"/>
          <w:numId w:val="1006"/>
        </w:numPr>
        <w:pStyle w:val="Compact"/>
      </w:pPr>
      <w:r>
        <w:rPr>
          <w:iCs/>
          <w:i/>
        </w:rPr>
        <w:t xml:space="preserve">Qualitative:</w:t>
      </w:r>
      <w:r>
        <w:t xml:space="preserve"> </w:t>
      </w:r>
      <w:r>
        <w:t xml:space="preserve">Candidate surveys on Yangon experience perception; institutional feedback on lecturer performance.</w:t>
      </w:r>
    </w:p>
    <w:p>
      <w:pPr>
        <w:pStyle w:val="FirstParagraph"/>
      </w:pPr>
      <w:r>
        <w:t xml:space="preserve">A quarterly review will assess if the Marketing Plan effectively converts interest into hires meeting Yangon's academic standards. Crucially, we’ll track whether our focus on Myanmar Yangon as a vibrant, accessible career destination—rather than a "last resort" location—shifts candidate perceptions.</w:t>
      </w:r>
    </w:p>
    <w:bookmarkEnd w:id="30"/>
    <w:bookmarkStart w:id="31" w:name="conclusion"/>
    <w:p>
      <w:pPr>
        <w:pStyle w:val="Heading2"/>
      </w:pPr>
      <w:r>
        <w:t xml:space="preserve">Conclusion</w:t>
      </w:r>
    </w:p>
    <w:p>
      <w:pPr>
        <w:pStyle w:val="FirstParagraph"/>
      </w:pPr>
      <w:r>
        <w:t xml:space="preserve">This Marketing Plan transforms the perception of University Lecturer opportunities in Myanmar Yangon from limited vacancies to strategic career accelerators. By addressing cultural, logistical, and professional needs through hyper-localized tactics, we position Yangon not just as a city with teaching jobs—but as an ecosystem where educators thrive academically and personally. With 72% of Myanmar’s student population residing in Yangon (World Bank, 2023), this initiative directly fuels the nation’s human capital development while establishing Yangon as a beacon for innovative higher education in Southeast Asia. The success of this Marketing Plan will define how globally competitive institutions recruit talent for Myanmar's most dynamic academic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Positions in Yangon</dc:title>
  <dc:creator/>
  <dc:language>en</dc:language>
  <cp:keywords/>
  <dcterms:created xsi:type="dcterms:W3CDTF">2025-12-12T12:29:33Z</dcterms:created>
  <dcterms:modified xsi:type="dcterms:W3CDTF">2025-12-12T12:29:33Z</dcterms:modified>
</cp:coreProperties>
</file>

<file path=docProps/custom.xml><?xml version="1.0" encoding="utf-8"?>
<Properties xmlns="http://schemas.openxmlformats.org/officeDocument/2006/custom-properties" xmlns:vt="http://schemas.openxmlformats.org/officeDocument/2006/docPropsVTypes"/>
</file>