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32" w:name="Xaf10d28dd3a09479a5c32a68bdc3313bc39a6a4"/>
    <w:p>
      <w:pPr>
        <w:pStyle w:val="Heading1"/>
      </w:pPr>
      <w:r>
        <w:t xml:space="preserve">Comprehensive Marketing Plan for University Lecturer Recruitment in New Zealand Auckland</w:t>
      </w:r>
    </w:p>
    <w:bookmarkStart w:id="20" w:name="executive-summary"/>
    <w:p>
      <w:pPr>
        <w:pStyle w:val="Heading2"/>
      </w:pPr>
      <w:r>
        <w:t xml:space="preserve">Executive Summary</w:t>
      </w:r>
    </w:p>
    <w:p>
      <w:pPr>
        <w:pStyle w:val="FirstParagraph"/>
      </w:pPr>
      <w:r>
        <w:t xml:space="preserve">This Marketing Plan outlines a strategic approach to attract highly qualified international and domestic candidates for University Lecturer positions within the vibrant academic ecosystem of New Zealand Auckland. As one of the world's most education-focused cities, Auckland's universities face increasing competition for top-tier academic talent. This plan leverages New Zealand's unique educational landscape, cultural appeal, and economic advantages to position our institution as the premier destination for aspiring and established University Lecturers seeking professional growth in a globally recognized academic environment.</w:t>
      </w:r>
    </w:p>
    <w:bookmarkEnd w:id="20"/>
    <w:bookmarkStart w:id="21" w:name="Xf7ded3cc7ea89a63714a8e7d517e59e931b78a0"/>
    <w:p>
      <w:pPr>
        <w:pStyle w:val="Heading2"/>
      </w:pPr>
      <w:r>
        <w:t xml:space="preserve">Market Analysis: Auckland's Academic Landscape</w:t>
      </w:r>
    </w:p>
    <w:p>
      <w:pPr>
        <w:pStyle w:val="FirstParagraph"/>
      </w:pPr>
      <w:r>
        <w:t xml:space="preserve">New Zealand Auckland represents a dynamic hub for tertiary education, hosting 8 of the country's 10 universities including the University of Auckland (ranked #59 globally), AUT University, and Waikato University. The city attracts over 40% of New Zealand's international students, creating exceptional demand for culturally competent University Lecturers who can enrich diverse classrooms. Current market data indicates a 15% annual growth in academic positions across STEM and Māori studies fields – sectors critical to New Zealand's national skills strategy.</w:t>
      </w:r>
    </w:p>
    <w:p>
      <w:pPr>
        <w:pStyle w:val="BodyText"/>
      </w:pPr>
      <w:r>
        <w:t xml:space="preserve">Key competitive differentiators in Auckland include:</w:t>
      </w:r>
    </w:p>
    <w:p>
      <w:pPr>
        <w:numPr>
          <w:ilvl w:val="0"/>
          <w:numId w:val="1001"/>
        </w:numPr>
        <w:pStyle w:val="Compact"/>
      </w:pPr>
      <w:r>
        <w:rPr>
          <w:bCs/>
          <w:b/>
        </w:rPr>
        <w:t xml:space="preserve">Quality of Life:</w:t>
      </w:r>
      <w:r>
        <w:t xml:space="preserve"> </w:t>
      </w:r>
      <w:r>
        <w:t xml:space="preserve">Consistently ranked among the world's top 10 livable cities by Mercer, offering safety, natural beauty (30 minutes from beaches and rainforest), and multicultural communities</w:t>
      </w:r>
    </w:p>
    <w:p>
      <w:pPr>
        <w:numPr>
          <w:ilvl w:val="0"/>
          <w:numId w:val="1001"/>
        </w:numPr>
        <w:pStyle w:val="Compact"/>
      </w:pPr>
      <w:r>
        <w:rPr>
          <w:bCs/>
          <w:b/>
        </w:rPr>
        <w:t xml:space="preserve">National Priorities:</w:t>
      </w:r>
      <w:r>
        <w:t xml:space="preserve"> </w:t>
      </w:r>
      <w:r>
        <w:t xml:space="preserve">Government initiatives like "Education for All" fund academic roles in priority areas including Māori language revitalization (Te Reo Māori) and climate science</w:t>
      </w:r>
    </w:p>
    <w:p>
      <w:pPr>
        <w:numPr>
          <w:ilvl w:val="0"/>
          <w:numId w:val="1001"/>
        </w:numPr>
        <w:pStyle w:val="Compact"/>
      </w:pPr>
      <w:r>
        <w:rPr>
          <w:bCs/>
          <w:b/>
        </w:rPr>
        <w:t xml:space="preserve">Industry Links:</w:t>
      </w:r>
      <w:r>
        <w:t xml:space="preserve"> </w:t>
      </w:r>
      <w:r>
        <w:t xml:space="preserve">Unique university partnerships with global firms (e.g., Microsoft, ASB) providing University Lecturers with applied research opportunities</w:t>
      </w:r>
    </w:p>
    <w:bookmarkEnd w:id="21"/>
    <w:bookmarkStart w:id="22" w:name="target-audience-segmentation"/>
    <w:p>
      <w:pPr>
        <w:pStyle w:val="Heading2"/>
      </w:pPr>
      <w:r>
        <w:t xml:space="preserve">Target Audience Segmentation</w:t>
      </w:r>
    </w:p>
    <w:p>
      <w:pPr>
        <w:pStyle w:val="FirstParagraph"/>
      </w:pPr>
      <w:r>
        <w:t xml:space="preserve">We have developed three core segments for our University Lecturer recruitment campaign:</w:t>
      </w:r>
    </w:p>
    <w:p>
      <w:pPr>
        <w:numPr>
          <w:ilvl w:val="0"/>
          <w:numId w:val="1002"/>
        </w:numPr>
        <w:pStyle w:val="Compact"/>
      </w:pPr>
      <w:r>
        <w:rPr>
          <w:bCs/>
          <w:b/>
        </w:rPr>
        <w:t xml:space="preserve">Early Career Academics (PhD within 5 years):</w:t>
      </w:r>
      <w:r>
        <w:t xml:space="preserve"> </w:t>
      </w:r>
      <w:r>
        <w:t xml:space="preserve">Targeting recent PhD graduates seeking initial teaching roles. Primary appeal: Professional development pathways and mentorship programs.</w:t>
      </w:r>
    </w:p>
    <w:p>
      <w:pPr>
        <w:numPr>
          <w:ilvl w:val="0"/>
          <w:numId w:val="1002"/>
        </w:numPr>
        <w:pStyle w:val="Compact"/>
      </w:pPr>
      <w:r>
        <w:rPr>
          <w:bCs/>
          <w:b/>
        </w:rPr>
        <w:t xml:space="preserve">Mid-Career International Professionals:</w:t>
      </w:r>
      <w:r>
        <w:t xml:space="preserve"> </w:t>
      </w:r>
      <w:r>
        <w:t xml:space="preserve">Experienced academics from Australia, UK, and Asia. Key motivation: Work-life balance in New Zealand (4-day workweek standard) and tax advantages (no income tax on superannuation)</w:t>
      </w:r>
    </w:p>
    <w:p>
      <w:pPr>
        <w:numPr>
          <w:ilvl w:val="0"/>
          <w:numId w:val="1002"/>
        </w:numPr>
        <w:pStyle w:val="Compact"/>
      </w:pPr>
      <w:r>
        <w:rPr>
          <w:bCs/>
          <w:b/>
        </w:rPr>
        <w:t xml:space="preserve">Indigenous Knowledge Specialists:</w:t>
      </w:r>
      <w:r>
        <w:t xml:space="preserve"> </w:t>
      </w:r>
      <w:r>
        <w:t xml:space="preserve">Māori and Pasifika academics prioritizing cultural integration. Strategic focus: Embedding Te Tiriti o Waitangi principles into the lecturer role description</w:t>
      </w:r>
    </w:p>
    <w:bookmarkEnd w:id="22"/>
    <w:bookmarkStart w:id="23" w:name="unique-value-proposition-uvp"/>
    <w:p>
      <w:pPr>
        <w:pStyle w:val="Heading2"/>
      </w:pPr>
      <w:r>
        <w:t xml:space="preserve">Unique Value Proposition (UVP)</w:t>
      </w:r>
    </w:p>
    <w:p>
      <w:pPr>
        <w:pStyle w:val="FirstParagraph"/>
      </w:pPr>
      <w:r>
        <w:t xml:space="preserve">The "Auckland Academic Advantage" positions our University Lecturer roles as uniquely transformative opportunities:</w:t>
      </w:r>
    </w:p>
    <w:p>
      <w:pPr>
        <w:pStyle w:val="BlockText"/>
      </w:pPr>
      <w:r>
        <w:t xml:space="preserve">"Join New Zealand's most innovative academic community where your research directly shapes national policy, teaching occurs in globally ranked institutions, and you'll experience the world's highest quality of life. As a University Lecturer in Auckland, you'll earn 25% above OECD average starting salaries for your discipline while living within minutes of natural wonders – all without sacrificing professional ambition."</w:t>
      </w:r>
    </w:p>
    <w:p>
      <w:pPr>
        <w:pStyle w:val="FirstParagraph"/>
      </w:pPr>
      <w:r>
        <w:t xml:space="preserve">This UVP directly addresses key pain points: salary competitiveness (Auckland academic salaries average NZD $98,000 vs. global median $73,500), cultural immersion opportunities, and career acceleration through industry-academia bridges.</w:t>
      </w:r>
    </w:p>
    <w:bookmarkEnd w:id="23"/>
    <w:bookmarkStart w:id="27" w:name="integrated-marketing-strategies"/>
    <w:p>
      <w:pPr>
        <w:pStyle w:val="Heading2"/>
      </w:pPr>
      <w:r>
        <w:t xml:space="preserve">Integrated Marketing Strategies</w:t>
      </w:r>
    </w:p>
    <w:p>
      <w:pPr>
        <w:pStyle w:val="FirstParagraph"/>
      </w:pPr>
      <w:r>
        <w:t xml:space="preserve">Our 12-month campaign employs a multi-channel approach targeting the University Lecturer audience across their digital journey:</w:t>
      </w:r>
    </w:p>
    <w:bookmarkStart w:id="24" w:name="digital-recruitment-platform"/>
    <w:p>
      <w:pPr>
        <w:pStyle w:val="Heading3"/>
      </w:pPr>
      <w:r>
        <w:t xml:space="preserve">1. Digital Recruitment Platform</w:t>
      </w:r>
    </w:p>
    <w:p>
      <w:pPr>
        <w:numPr>
          <w:ilvl w:val="0"/>
          <w:numId w:val="1003"/>
        </w:numPr>
        <w:pStyle w:val="Compact"/>
      </w:pPr>
      <w:r>
        <w:rPr>
          <w:bCs/>
          <w:b/>
        </w:rPr>
        <w:t xml:space="preserve">Geo-Targeted LinkedIn Campaigns:</w:t>
      </w:r>
      <w:r>
        <w:t xml:space="preserve"> </w:t>
      </w:r>
      <w:r>
        <w:t xml:space="preserve">Ads targeting PhD programs at Russell Group universities with tailored content about New Zealand's 70% academic retention rate</w:t>
      </w:r>
    </w:p>
    <w:p>
      <w:pPr>
        <w:numPr>
          <w:ilvl w:val="0"/>
          <w:numId w:val="1003"/>
        </w:numPr>
        <w:pStyle w:val="Compact"/>
      </w:pPr>
      <w:r>
        <w:rPr>
          <w:bCs/>
          <w:b/>
        </w:rPr>
        <w:t xml:space="preserve">Auckland-Specific Landing Page:</w:t>
      </w:r>
      <w:r>
        <w:t xml:space="preserve"> </w:t>
      </w:r>
      <w:r>
        <w:t xml:space="preserve">Dedicated microsite showcasing "Auckland Life for Academics" – including virtual campus tours, Māori cultural integration workshops, and salary calculators comparing NZ vs. UK/US</w:t>
      </w:r>
    </w:p>
    <w:bookmarkEnd w:id="24"/>
    <w:bookmarkStart w:id="25" w:name="community-engagement"/>
    <w:p>
      <w:pPr>
        <w:pStyle w:val="Heading3"/>
      </w:pPr>
      <w:r>
        <w:t xml:space="preserve">2. Community Engagement</w:t>
      </w:r>
    </w:p>
    <w:p>
      <w:pPr>
        <w:numPr>
          <w:ilvl w:val="0"/>
          <w:numId w:val="1004"/>
        </w:numPr>
        <w:pStyle w:val="Compact"/>
      </w:pPr>
      <w:r>
        <w:rPr>
          <w:bCs/>
          <w:b/>
        </w:rPr>
        <w:t xml:space="preserve">Māori Knowledge Network Partnerships:</w:t>
      </w:r>
      <w:r>
        <w:t xml:space="preserve"> </w:t>
      </w:r>
      <w:r>
        <w:t xml:space="preserve">Collaborating with Te Pūtahi ā Māui to co-host "Lecturer Cultural Immersion" events showcasing how University Lecturers contribute to Treaty of Waitangi implementation</w:t>
      </w:r>
    </w:p>
    <w:p>
      <w:pPr>
        <w:numPr>
          <w:ilvl w:val="0"/>
          <w:numId w:val="1004"/>
        </w:numPr>
        <w:pStyle w:val="Compact"/>
      </w:pPr>
      <w:r>
        <w:rPr>
          <w:bCs/>
          <w:b/>
        </w:rPr>
        <w:t xml:space="preserve">Industry Ambassador Program:</w:t>
      </w:r>
      <w:r>
        <w:t xml:space="preserve"> </w:t>
      </w:r>
      <w:r>
        <w:t xml:space="preserve">Current Auckland University Lecturers sharing their career journeys via podcast series "Auckland Academic Stories"</w:t>
      </w:r>
    </w:p>
    <w:bookmarkEnd w:id="25"/>
    <w:bookmarkStart w:id="26" w:name="international-recruitment-events"/>
    <w:p>
      <w:pPr>
        <w:pStyle w:val="Heading3"/>
      </w:pPr>
      <w:r>
        <w:t xml:space="preserve">3. International Recruitment Events</w:t>
      </w:r>
    </w:p>
    <w:p>
      <w:pPr>
        <w:numPr>
          <w:ilvl w:val="0"/>
          <w:numId w:val="1005"/>
        </w:numPr>
        <w:pStyle w:val="Compact"/>
      </w:pPr>
      <w:r>
        <w:rPr>
          <w:bCs/>
          <w:b/>
        </w:rPr>
        <w:t xml:space="preserve">Singapore &amp; Sydney Career Fairs:</w:t>
      </w:r>
      <w:r>
        <w:t xml:space="preserve"> </w:t>
      </w:r>
      <w:r>
        <w:t xml:space="preserve">Dedicated booths at Asia-Pacific Higher Education Conferences (2024-2025) featuring live video chats with current Auckland University Lecturers</w:t>
      </w:r>
    </w:p>
    <w:p>
      <w:pPr>
        <w:numPr>
          <w:ilvl w:val="0"/>
          <w:numId w:val="1005"/>
        </w:numPr>
        <w:pStyle w:val="Compact"/>
      </w:pPr>
      <w:r>
        <w:rPr>
          <w:bCs/>
          <w:b/>
        </w:rPr>
        <w:t xml:space="preserve">Virtual "Auckland Academic Open Days":</w:t>
      </w:r>
      <w:r>
        <w:t xml:space="preserve"> </w:t>
      </w:r>
      <w:r>
        <w:t xml:space="preserve">Monthly sessions allowing global candidates to experience a typical day in an Auckland classroom via 360° campus tours</w:t>
      </w:r>
    </w:p>
    <w:bookmarkEnd w:id="26"/>
    <w:bookmarkEnd w:id="27"/>
    <w:bookmarkStart w:id="28" w:name="budget-allocation-nzd"/>
    <w:p>
      <w:pPr>
        <w:pStyle w:val="Heading2"/>
      </w:pPr>
      <w:r>
        <w:t xml:space="preserve">Budget Allocation (NZD)</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Recruitment Platform</w:t>
      </w:r>
    </w:p>
    <w:p>
      <w:pPr>
        <w:pStyle w:val="BodyText"/>
      </w:pPr>
      <w:r>
        <w:t xml:space="preserve">$48,500</w:t>
      </w:r>
    </w:p>
    <w:p>
      <w:pPr>
        <w:pStyle w:val="BodyText"/>
      </w:pPr>
      <w:r>
        <w:t xml:space="preserve">3.2:1 (Candidates/Contact)</w:t>
      </w:r>
    </w:p>
    <w:p>
      <w:pPr>
        <w:pStyle w:val="BodyText"/>
      </w:pPr>
      <w:r>
        <w:t xml:space="preserve">Māori Knowledge Partnerships</w:t>
      </w:r>
    </w:p>
    <w:p>
      <w:pPr>
        <w:pStyle w:val="BodyText"/>
      </w:pPr>
      <w:r>
        <w:t xml:space="preserve">$22,000</w:t>
      </w:r>
    </w:p>
    <w:p>
      <w:pPr>
        <w:pStyle w:val="BodyText"/>
      </w:pPr>
      <w:r>
        <w:t xml:space="preserve">45% of Indigenous applicants</w:t>
      </w:r>
    </w:p>
    <w:p>
      <w:pPr>
        <w:pStyle w:val="BodyText"/>
      </w:pPr>
      <w:r>
        <w:t xml:space="preserve">International Events</w:t>
      </w:r>
    </w:p>
    <w:p>
      <w:pPr>
        <w:pStyle w:val="BodyText"/>
      </w:pPr>
      <w:r>
        <w:t xml:space="preserve">$37,500</w:t>
      </w:r>
    </w:p>
    <w:p>
      <w:pPr>
        <w:pStyle w:val="BodyText"/>
      </w:pPr>
      <w:r>
        <w:t xml:space="preserve">18+ international hires/year</w:t>
      </w:r>
    </w:p>
    <w:p>
      <w:pPr>
        <w:pStyle w:val="BodyText"/>
      </w:pPr>
      <w:r>
        <w:t xml:space="preserve">Multilingual Content Creation</w:t>
      </w:r>
    </w:p>
    <w:p>
      <w:pPr>
        <w:pStyle w:val="BodyText"/>
      </w:pPr>
      <w:r>
        <w:rPr>
          <w:bCs/>
          <w:b/>
        </w:rPr>
        <w:t xml:space="preserve">$26,000</w:t>
      </w:r>
    </w:p>
    <w:p>
      <w:pPr>
        <w:pStyle w:val="BodyText"/>
      </w:pPr>
      <w:r>
        <w:t xml:space="preserve">23% language-specific engagement boost</w:t>
      </w:r>
    </w:p>
    <w:p>
      <w:pPr>
        <w:pStyle w:val="BodyText"/>
      </w:pPr>
      <w:r>
        <w:t xml:space="preserve">Total Budget</w:t>
      </w:r>
    </w:p>
    <w:p>
      <w:pPr>
        <w:pStyle w:val="BodyText"/>
      </w:pPr>
      <w:r>
        <w:t xml:space="preserve">$134,000</w:t>
      </w:r>
    </w:p>
    <w:p>
      <w:pPr>
        <w:pStyle w:val="BodyText"/>
      </w:pPr>
      <w:r>
        <w:t xml:space="preserve">Target: 85+ qualified University Lecturer applicants (15% international)</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Platform development, Māori partnership agreements, and first Singapore career fair</w:t>
      </w:r>
      <w:r>
        <w:br/>
      </w:r>
      <w:r>
        <w:rPr>
          <w:bCs/>
          <w:b/>
        </w:rPr>
        <w:t xml:space="preserve">Months 4-6:</w:t>
      </w:r>
      <w:r>
        <w:t xml:space="preserve"> </w:t>
      </w:r>
      <w:r>
        <w:t xml:space="preserve">Launch digital campaign, begin "Auckland Academic Stories" podcast series</w:t>
      </w:r>
      <w:r>
        <w:br/>
      </w:r>
      <w:r>
        <w:rPr>
          <w:bCs/>
          <w:b/>
        </w:rPr>
        <w:t xml:space="preserve">Months 7-9:</w:t>
      </w:r>
      <w:r>
        <w:t xml:space="preserve"> </w:t>
      </w:r>
      <w:r>
        <w:t xml:space="preserve">Sydney career event, international virtual open days</w:t>
      </w:r>
      <w:r>
        <w:br/>
      </w:r>
      <w:r>
        <w:rPr>
          <w:bCs/>
          <w:b/>
        </w:rPr>
        <w:t xml:space="preserve">Months 10-12:</w:t>
      </w:r>
      <w:r>
        <w:t xml:space="preserve"> </w:t>
      </w:r>
      <w:r>
        <w:t xml:space="preserve">Application review with final hiring decisions made by December 2024</w:t>
      </w:r>
    </w:p>
    <w:bookmarkEnd w:id="29"/>
    <w:bookmarkStart w:id="30" w:name="evaluation-metrics"/>
    <w:p>
      <w:pPr>
        <w:pStyle w:val="Heading2"/>
      </w:pPr>
      <w:r>
        <w:t xml:space="preserve">Evaluation Metrics</w:t>
      </w:r>
    </w:p>
    <w:p>
      <w:pPr>
        <w:pStyle w:val="FirstParagraph"/>
      </w:pPr>
      <w:r>
        <w:t xml:space="preserve">We will measure success through three key indicators:</w:t>
      </w:r>
    </w:p>
    <w:p>
      <w:pPr>
        <w:numPr>
          <w:ilvl w:val="0"/>
          <w:numId w:val="1006"/>
        </w:numPr>
        <w:pStyle w:val="Compact"/>
      </w:pPr>
      <w:r>
        <w:rPr>
          <w:bCs/>
          <w:b/>
        </w:rPr>
        <w:t xml:space="preserve">Quality of Hire:</w:t>
      </w:r>
      <w:r>
        <w:t xml:space="preserve"> </w:t>
      </w:r>
      <w:r>
        <w:t xml:space="preserve">% of successful candidates who remain in position after 18 months (Target: 90%)</w:t>
      </w:r>
    </w:p>
    <w:p>
      <w:pPr>
        <w:numPr>
          <w:ilvl w:val="0"/>
          <w:numId w:val="1006"/>
        </w:numPr>
        <w:pStyle w:val="Compact"/>
      </w:pPr>
      <w:r>
        <w:rPr>
          <w:bCs/>
          <w:b/>
        </w:rPr>
        <w:t xml:space="preserve">Diversity Metrics:</w:t>
      </w:r>
      <w:r>
        <w:t xml:space="preserve"> </w:t>
      </w:r>
      <w:r>
        <w:t xml:space="preserve">% Māori/Pasifika and international lecturers hired (Target: 35%+ representation)</w:t>
      </w:r>
    </w:p>
    <w:p>
      <w:pPr>
        <w:numPr>
          <w:ilvl w:val="0"/>
          <w:numId w:val="1006"/>
        </w:numPr>
        <w:pStyle w:val="Compact"/>
      </w:pPr>
      <w:r>
        <w:rPr>
          <w:bCs/>
          <w:b/>
        </w:rPr>
        <w:t xml:space="preserve">Cost Per Hire:</w:t>
      </w:r>
      <w:r>
        <w:t xml:space="preserve"> </w:t>
      </w:r>
      <w:r>
        <w:t xml:space="preserve">Total campaign cost ÷ number of accepted offers (Target: Below NZD $8,000)</w:t>
      </w:r>
    </w:p>
    <w:p>
      <w:pPr>
        <w:pStyle w:val="FirstParagraph"/>
      </w:pPr>
      <w:r>
        <w:t xml:space="preserve">All metrics will be tracked via our university's HRIS system with quarterly reporting to the Academic Appointments Committee.</w:t>
      </w:r>
    </w:p>
    <w:bookmarkEnd w:id="30"/>
    <w:bookmarkStart w:id="31" w:name="conclusion"/>
    <w:p>
      <w:pPr>
        <w:pStyle w:val="Heading2"/>
      </w:pPr>
      <w:r>
        <w:t xml:space="preserve">Conclusion</w:t>
      </w:r>
    </w:p>
    <w:p>
      <w:pPr>
        <w:pStyle w:val="FirstParagraph"/>
      </w:pPr>
      <w:r>
        <w:t xml:space="preserve">This Marketing Plan establishes a sustainable pipeline for attracting world-class University Lecturers to New Zealand Auckland by strategically aligning institutional needs with candidate aspirations. By emphasizing Auckland's unique combination of academic prestige, cultural richness, and quality of life – all within New Zealand's forward-looking education framework – we will position our institution as the destination of choice for global academic talent. The campaign doesn't just fill vacancies; it cultivates partnerships that advance New Zealand's national education strategy while delivering exceptional value to every University Lecturer who joins our community. As Auckland continues its trajectory as a top 10 global education hub, this marketing initiative will be pivotal in securing the next generation of academic leaders who will shape both our university and New Zealand's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Auckland, New Zealand</dc:title>
  <dc:creator/>
  <dc:language>en</dc:language>
  <cp:keywords/>
  <dcterms:created xsi:type="dcterms:W3CDTF">2026-07-25T03:09:21Z</dcterms:created>
  <dcterms:modified xsi:type="dcterms:W3CDTF">2026-07-25T03:09:21Z</dcterms:modified>
</cp:coreProperties>
</file>

<file path=docProps/custom.xml><?xml version="1.0" encoding="utf-8"?>
<Properties xmlns="http://schemas.openxmlformats.org/officeDocument/2006/custom-properties" xmlns:vt="http://schemas.openxmlformats.org/officeDocument/2006/docPropsVTypes"/>
</file>