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X555bc3c7981dfa65e46c60e7bbdec2dccd2d2eb"/>
    <w:p>
      <w:pPr>
        <w:pStyle w:val="Heading1"/>
      </w:pPr>
      <w:r>
        <w:t xml:space="preserve">Comprehensive Marketing Plan for University Lecturer Recruitment in New Zealand Wellington</w:t>
      </w:r>
    </w:p>
    <w:bookmarkStart w:id="20" w:name="executive-summary"/>
    <w:p>
      <w:pPr>
        <w:pStyle w:val="Heading2"/>
      </w:pPr>
      <w:r>
        <w:t xml:space="preserve">Executive Summary</w:t>
      </w:r>
    </w:p>
    <w:p>
      <w:pPr>
        <w:pStyle w:val="FirstParagraph"/>
      </w:pPr>
      <w:r>
        <w:t xml:space="preserve">This Marketing Plan outlines a targeted strategy to attract highly qualified and culturally aligned candidates for the University Lecturer position at [University Name], located in the vibrant capital city of Wellington, New Zealand. As a leading institution committed to academic excellence and innovation, we recognize that our recruitment approach must reflect Wellington's unique educational ecosystem while addressing national workforce priorities. This plan leverages Wellington's strategic position as New Zealand's education hub to create a compelling employer brand that resonates with academia-focused professionals seeking impactful careers in Aotearoa. Our goal is to fill the University Lecturer role within 90 days through channel-specific tactics that emphasize Wellington's distinctive advantages: world-class research infrastructure, cultural vibrancy, and strong community values.</w:t>
      </w:r>
    </w:p>
    <w:bookmarkEnd w:id="20"/>
    <w:bookmarkStart w:id="21" w:name="target-audience-analysis"/>
    <w:p>
      <w:pPr>
        <w:pStyle w:val="Heading2"/>
      </w:pPr>
      <w:r>
        <w:t xml:space="preserve">Target Audience Analysis</w:t>
      </w:r>
    </w:p>
    <w:p>
      <w:pPr>
        <w:pStyle w:val="FirstParagraph"/>
      </w:pPr>
      <w:r>
        <w:t xml:space="preserve">Our primary audience comprises early-to-mid-career academics (PhD holders with 3-10 years' experience) specializing in [Specific Discipline], seeking opportunities where teaching impact aligns with Wellington's collaborative research environment. Secondary audiences include: international academics considering relocation to New Zealand, Māori and Pasifika scholars prioritizing culturally responsive institutions, and adjunct faculty exploring permanent roles. Crucially, Wellington's demographic profile (25% of population aged 25-34) indicates high demand for academic positions among young professionals seeking urban cultural engagement combined with quality-of-life benefits. We will emphasize how this University Lecturer role offers direct pathways to Wellington's thriving innovation clusters in tech, sustainability, and creative industries.</w:t>
      </w:r>
    </w:p>
    <w:bookmarkEnd w:id="21"/>
    <w:bookmarkStart w:id="22" w:name="unique-selling-proposition-usp"/>
    <w:p>
      <w:pPr>
        <w:pStyle w:val="Heading2"/>
      </w:pPr>
      <w:r>
        <w:t xml:space="preserve">Unique Selling Proposition (USP)</w:t>
      </w:r>
    </w:p>
    <w:p>
      <w:pPr>
        <w:pStyle w:val="FirstParagraph"/>
      </w:pPr>
      <w:r>
        <w:t xml:space="preserve">The core USP positions the University Lecturer opportunity as a catalyst for meaningful academic contribution within New Zealand's most dynamic educational environment. Unlike generic listings, our campaign highlights:</w:t>
      </w:r>
    </w:p>
    <w:p>
      <w:pPr>
        <w:numPr>
          <w:ilvl w:val="0"/>
          <w:numId w:val="1001"/>
        </w:numPr>
        <w:pStyle w:val="Compact"/>
      </w:pPr>
      <w:r>
        <w:rPr>
          <w:bCs/>
          <w:b/>
        </w:rPr>
        <w:t xml:space="preserve">Wellington Immersion:</w:t>
      </w:r>
      <w:r>
        <w:t xml:space="preserve"> </w:t>
      </w:r>
      <w:r>
        <w:t xml:space="preserve">Direct access to Te Papa Tongarewa, Wellington City Council innovation programs, and the University's Wellington Innovation Hub – creating immediate research impact</w:t>
      </w:r>
    </w:p>
    <w:p>
      <w:pPr>
        <w:numPr>
          <w:ilvl w:val="0"/>
          <w:numId w:val="1001"/>
        </w:numPr>
        <w:pStyle w:val="Compact"/>
      </w:pPr>
      <w:r>
        <w:rPr>
          <w:bCs/>
          <w:b/>
        </w:rPr>
        <w:t xml:space="preserve">Cultural Integration:</w:t>
      </w:r>
      <w:r>
        <w:t xml:space="preserve"> </w:t>
      </w:r>
      <w:r>
        <w:t xml:space="preserve">Guaranteed participation in Te Whare Wānanga Māori workshops and partnership with local iwi (Ngāti Raukawa) for culturally informed teaching development</w:t>
      </w:r>
    </w:p>
    <w:p>
      <w:pPr>
        <w:numPr>
          <w:ilvl w:val="0"/>
          <w:numId w:val="1001"/>
        </w:numPr>
        <w:pStyle w:val="Compact"/>
      </w:pPr>
      <w:r>
        <w:rPr>
          <w:bCs/>
          <w:b/>
        </w:rPr>
        <w:t xml:space="preserve">Work-Life Synergy:</w:t>
      </w:r>
      <w:r>
        <w:t xml:space="preserve"> </w:t>
      </w:r>
      <w:r>
        <w:t xml:space="preserve">Wellington's compact urban layout (15-min commute to central campus) enabling faculty to engage with the city's culinary, artistic, and outdoor recreation scenes without sacrificing academic productivity</w:t>
      </w:r>
    </w:p>
    <w:p>
      <w:pPr>
        <w:numPr>
          <w:ilvl w:val="0"/>
          <w:numId w:val="1001"/>
        </w:numPr>
        <w:pStyle w:val="Compact"/>
      </w:pPr>
      <w:r>
        <w:rPr>
          <w:bCs/>
          <w:b/>
        </w:rPr>
        <w:t xml:space="preserve">National Impact:</w:t>
      </w:r>
      <w:r>
        <w:t xml:space="preserve"> </w:t>
      </w:r>
      <w:r>
        <w:t xml:space="preserve">Opportunity to shape New Zealand's education strategy through direct collaboration with the Ministry of Education on curriculum development</w:t>
      </w:r>
    </w:p>
    <w:bookmarkEnd w:id="22"/>
    <w:bookmarkStart w:id="26" w:name="marketing-strategy-tactics"/>
    <w:p>
      <w:pPr>
        <w:pStyle w:val="Heading2"/>
      </w:pPr>
      <w:r>
        <w:t xml:space="preserve">Marketing Strategy &amp; Tactics</w:t>
      </w:r>
    </w:p>
    <w:p>
      <w:pPr>
        <w:pStyle w:val="FirstParagraph"/>
      </w:pPr>
      <w:r>
        <w:t xml:space="preserve">Our multi-channel strategy employs both digital precision and local cultural resonance, specifically designed for Wellington's academic community:</w:t>
      </w:r>
    </w:p>
    <w:bookmarkStart w:id="23" w:name="digital-precision-targeting-45-of-budget"/>
    <w:p>
      <w:pPr>
        <w:pStyle w:val="Heading3"/>
      </w:pPr>
      <w:r>
        <w:t xml:space="preserve">1. Digital Precision Targeting (45% of budget)</w:t>
      </w:r>
    </w:p>
    <w:p>
      <w:pPr>
        <w:numPr>
          <w:ilvl w:val="0"/>
          <w:numId w:val="1002"/>
        </w:numPr>
        <w:pStyle w:val="Compact"/>
      </w:pPr>
      <w:r>
        <w:rPr>
          <w:bCs/>
          <w:b/>
        </w:rPr>
        <w:t xml:space="preserve">Academic Social Media Campaigns:</w:t>
      </w:r>
      <w:r>
        <w:t xml:space="preserve"> </w:t>
      </w:r>
      <w:r>
        <w:t xml:space="preserve">LinkedIn ads targeting users with "University Lecturer" in profiles, filtered by New Zealand location and relevant disciplines. Content features video testimonials from current Wellington-based lecturers discussing work-life integration</w:t>
      </w:r>
    </w:p>
    <w:p>
      <w:pPr>
        <w:numPr>
          <w:ilvl w:val="0"/>
          <w:numId w:val="1002"/>
        </w:numPr>
        <w:pStyle w:val="Compact"/>
      </w:pPr>
      <w:r>
        <w:rPr>
          <w:bCs/>
          <w:b/>
        </w:rPr>
        <w:t xml:space="preserve">NZ-Specific Job Portals:</w:t>
      </w:r>
      <w:r>
        <w:t xml:space="preserve"> </w:t>
      </w:r>
      <w:r>
        <w:t xml:space="preserve">Premium placements on Education Gazette NZ and University of Otago's Career Hub with "Wellington Advantage" banners highlighting proximity to Wellington Zoo, Te Papa, and the Waterfront</w:t>
      </w:r>
    </w:p>
    <w:p>
      <w:pPr>
        <w:numPr>
          <w:ilvl w:val="0"/>
          <w:numId w:val="1002"/>
        </w:numPr>
        <w:pStyle w:val="Compact"/>
      </w:pPr>
      <w:r>
        <w:rPr>
          <w:bCs/>
          <w:b/>
        </w:rPr>
        <w:t xml:space="preserve">SEO Optimization:</w:t>
      </w:r>
      <w:r>
        <w:t xml:space="preserve"> </w:t>
      </w:r>
      <w:r>
        <w:t xml:space="preserve">Creating dedicated landing page ("UniversityLecturerWellington.nz") targeting keywords like "lecturer jobs Wellington", "academic roles NZ", and "Māori education positions"</w:t>
      </w:r>
    </w:p>
    <w:bookmarkEnd w:id="23"/>
    <w:bookmarkStart w:id="24" w:name="X005e219ec840056921a98e74e0fed7bac605b5b"/>
    <w:p>
      <w:pPr>
        <w:pStyle w:val="Heading3"/>
      </w:pPr>
      <w:r>
        <w:t xml:space="preserve">2. Localized Community Engagement (35% of budget)</w:t>
      </w:r>
    </w:p>
    <w:p>
      <w:pPr>
        <w:numPr>
          <w:ilvl w:val="0"/>
          <w:numId w:val="1003"/>
        </w:numPr>
        <w:pStyle w:val="Compact"/>
      </w:pPr>
      <w:r>
        <w:rPr>
          <w:bCs/>
          <w:b/>
        </w:rPr>
        <w:t xml:space="preserve">Wellington University Network Events:</w:t>
      </w:r>
      <w:r>
        <w:t xml:space="preserve"> </w:t>
      </w:r>
      <w:r>
        <w:t xml:space="preserve">Hosting free industry panels at the Wellington Writers Festival and Victoria University's Faculty Lounge featuring current lecturers discussing "Teaching in Aotearoa's Capital"</w:t>
      </w:r>
    </w:p>
    <w:p>
      <w:pPr>
        <w:numPr>
          <w:ilvl w:val="0"/>
          <w:numId w:val="1003"/>
        </w:numPr>
        <w:pStyle w:val="Compact"/>
      </w:pPr>
      <w:r>
        <w:rPr>
          <w:bCs/>
          <w:b/>
        </w:rPr>
        <w:t xml:space="preserve">Māori &amp; Pacific Community Partnerships:</w:t>
      </w:r>
      <w:r>
        <w:t xml:space="preserve"> </w:t>
      </w:r>
      <w:r>
        <w:t xml:space="preserve">Collaborating with Te Wānanga o Aotearoa and Pasifika organisations for targeted recruitment events at Wellington community centers</w:t>
      </w:r>
    </w:p>
    <w:p>
      <w:pPr>
        <w:numPr>
          <w:ilvl w:val="0"/>
          <w:numId w:val="1003"/>
        </w:numPr>
        <w:pStyle w:val="Compact"/>
      </w:pPr>
      <w:r>
        <w:rPr>
          <w:bCs/>
          <w:b/>
        </w:rPr>
        <w:t xml:space="preserve">City-Wide Branding:</w:t>
      </w:r>
      <w:r>
        <w:t xml:space="preserve"> </w:t>
      </w:r>
      <w:r>
        <w:t xml:space="preserve">"Lecturer Welcome Package" co-branded with Wellington City Council including free public transport passes and cultural experience vouchers</w:t>
      </w:r>
    </w:p>
    <w:bookmarkEnd w:id="24"/>
    <w:bookmarkStart w:id="25" w:name="strategic-content-ecosystem-20-of-budget"/>
    <w:p>
      <w:pPr>
        <w:pStyle w:val="Heading3"/>
      </w:pPr>
      <w:r>
        <w:t xml:space="preserve">3. Strategic Content Ecosystem (20% of budget)</w:t>
      </w:r>
    </w:p>
    <w:p>
      <w:pPr>
        <w:numPr>
          <w:ilvl w:val="0"/>
          <w:numId w:val="1004"/>
        </w:numPr>
        <w:pStyle w:val="Compact"/>
      </w:pPr>
      <w:r>
        <w:rPr>
          <w:bCs/>
          <w:b/>
        </w:rPr>
        <w:t xml:space="preserve">Personalized Video Messages:</w:t>
      </w:r>
      <w:r>
        <w:t xml:space="preserve"> </w:t>
      </w:r>
      <w:r>
        <w:t xml:space="preserve">Produced by the Dean of the Faculty, filmed at iconic Wellington locations (e.g., Te Papa's glass entrance, Cable Car Station) addressing candidates directly</w:t>
      </w:r>
    </w:p>
    <w:p>
      <w:pPr>
        <w:numPr>
          <w:ilvl w:val="0"/>
          <w:numId w:val="1004"/>
        </w:numPr>
        <w:pStyle w:val="Compact"/>
      </w:pPr>
      <w:r>
        <w:rPr>
          <w:bCs/>
          <w:b/>
        </w:rPr>
        <w:t xml:space="preserve">Wellington Experience Blog Series:</w:t>
      </w:r>
      <w:r>
        <w:t xml:space="preserve"> </w:t>
      </w:r>
      <w:r>
        <w:t xml:space="preserve">"A Day in the Life of a University Lecturer in Wellington" featuring campus shots with local landmarks in background</w:t>
      </w:r>
    </w:p>
    <w:p>
      <w:pPr>
        <w:numPr>
          <w:ilvl w:val="0"/>
          <w:numId w:val="1004"/>
        </w:numPr>
        <w:pStyle w:val="Compact"/>
      </w:pPr>
      <w:r>
        <w:rPr>
          <w:bCs/>
          <w:b/>
        </w:rPr>
        <w:t xml:space="preserve">Cultural Integration Guides:</w:t>
      </w:r>
      <w:r>
        <w:t xml:space="preserve"> </w:t>
      </w:r>
      <w:r>
        <w:t xml:space="preserve">Digital guides on Māori protocols, Wellington's community initiatives, and sustainable living options for new academics</w:t>
      </w:r>
    </w:p>
    <w:bookmarkEnd w:id="25"/>
    <w:bookmarkEnd w:id="26"/>
    <w:bookmarkStart w:id="27" w:name="budget-allocation"/>
    <w:p>
      <w:pPr>
        <w:pStyle w:val="Heading2"/>
      </w:pPr>
      <w:r>
        <w:t xml:space="preserve">Budget Allocation</w:t>
      </w:r>
    </w:p>
    <w:p>
      <w:pPr>
        <w:pStyle w:val="FirstParagraph"/>
      </w:pPr>
      <w:r>
        <w:t xml:space="preserve">Total Budget: NZ$48,500 (90-day campaign)</w:t>
      </w:r>
    </w:p>
    <w:p>
      <w:pPr>
        <w:numPr>
          <w:ilvl w:val="0"/>
          <w:numId w:val="1005"/>
        </w:numPr>
        <w:pStyle w:val="Compact"/>
      </w:pPr>
      <w:r>
        <w:t xml:space="preserve">Digital Advertising: $21,825 (45%) – LinkedIn Premium, targeted Google Ads</w:t>
      </w:r>
    </w:p>
    <w:p>
      <w:pPr>
        <w:numPr>
          <w:ilvl w:val="0"/>
          <w:numId w:val="1005"/>
        </w:numPr>
        <w:pStyle w:val="Compact"/>
      </w:pPr>
      <w:r>
        <w:t xml:space="preserve">Local Events &amp; Partnerships: $16,975 (35%) – Venue rentals, cultural facilitator fees</w:t>
      </w:r>
    </w:p>
    <w:p>
      <w:pPr>
        <w:numPr>
          <w:ilvl w:val="0"/>
          <w:numId w:val="1005"/>
        </w:numPr>
        <w:pStyle w:val="Compact"/>
      </w:pPr>
      <w:r>
        <w:t xml:space="preserve">Content Production: $9,700 (20%) – Video production, multilingual materials</w:t>
      </w:r>
    </w:p>
    <w:bookmarkEnd w:id="27"/>
    <w:bookmarkStart w:id="28" w:name="timeline-implementation"/>
    <w:p>
      <w:pPr>
        <w:pStyle w:val="Heading2"/>
      </w:pPr>
      <w:r>
        <w:t xml:space="preserve">Timeline &amp; Implementation</w:t>
      </w:r>
    </w:p>
    <w:p>
      <w:pPr>
        <w:pStyle w:val="FirstParagraph"/>
      </w:pPr>
      <w:r>
        <w:rPr>
          <w:bCs/>
          <w:b/>
        </w:rPr>
        <w:t xml:space="preserve">Weeks 1-4:</w:t>
      </w:r>
      <w:r>
        <w:t xml:space="preserve"> </w:t>
      </w:r>
      <w:r>
        <w:t xml:space="preserve">Platform setup (SEO optimization, LinkedIn campaign launch), partner onboarding with Māori cultural organizations. Initial video content production.</w:t>
      </w:r>
    </w:p>
    <w:p>
      <w:pPr>
        <w:pStyle w:val="BodyText"/>
      </w:pPr>
      <w:r>
        <w:rPr>
          <w:bCs/>
          <w:b/>
        </w:rPr>
        <w:t xml:space="preserve">Weeks 5-8:</w:t>
      </w:r>
      <w:r>
        <w:t xml:space="preserve"> </w:t>
      </w:r>
      <w:r>
        <w:t xml:space="preserve">Local events series begins (3 Wellington community events), digital ad scaling based on engagement analytics. Cultural integration guides distributed to shortlisted candidates.</w:t>
      </w:r>
    </w:p>
    <w:p>
      <w:pPr>
        <w:pStyle w:val="BodyText"/>
      </w:pPr>
      <w:r>
        <w:rPr>
          <w:bCs/>
          <w:b/>
        </w:rPr>
        <w:t xml:space="preserve">Weeks 9-12:</w:t>
      </w:r>
      <w:r>
        <w:t xml:space="preserve"> </w:t>
      </w:r>
      <w:r>
        <w:t xml:space="preserve">Final candidate presentations, "Wellington Immersion" welcome weekend for successful applicants, and KPI analysis report. All materials emphasize New Zealand Wellington's unique academic ecosystem as the differentiator.</w:t>
      </w:r>
    </w:p>
    <w:bookmarkEnd w:id="28"/>
    <w:bookmarkStart w:id="29" w:name="key-performance-indicators"/>
    <w:p>
      <w:pPr>
        <w:pStyle w:val="Heading2"/>
      </w:pPr>
      <w:r>
        <w:t xml:space="preserve">Key Performance Indicators</w:t>
      </w:r>
    </w:p>
    <w:p>
      <w:pPr>
        <w:numPr>
          <w:ilvl w:val="0"/>
          <w:numId w:val="1006"/>
        </w:numPr>
        <w:pStyle w:val="Compact"/>
      </w:pPr>
      <w:r>
        <w:rPr>
          <w:bCs/>
          <w:b/>
        </w:rPr>
        <w:t xml:space="preserve">Quality of Applications:</w:t>
      </w:r>
      <w:r>
        <w:t xml:space="preserve"> </w:t>
      </w:r>
      <w:r>
        <w:t xml:space="preserve">80% minimum target of candidates meeting PhD + teaching experience requirements (measured against NZQA standards)</w:t>
      </w:r>
    </w:p>
    <w:p>
      <w:pPr>
        <w:numPr>
          <w:ilvl w:val="0"/>
          <w:numId w:val="1006"/>
        </w:numPr>
        <w:pStyle w:val="Compact"/>
      </w:pPr>
      <w:r>
        <w:rPr>
          <w:bCs/>
          <w:b/>
        </w:rPr>
        <w:t xml:space="preserve">Diversity Metrics:</w:t>
      </w:r>
      <w:r>
        <w:t xml:space="preserve"> </w:t>
      </w:r>
      <w:r>
        <w:t xml:space="preserve">35% Māori/Pasifika applicants (vs. 25% industry average)</w:t>
      </w:r>
    </w:p>
    <w:p>
      <w:pPr>
        <w:numPr>
          <w:ilvl w:val="0"/>
          <w:numId w:val="1006"/>
        </w:numPr>
        <w:pStyle w:val="Compact"/>
      </w:pPr>
      <w:r>
        <w:rPr>
          <w:bCs/>
          <w:b/>
        </w:rPr>
        <w:t xml:space="preserve">Time-to-Hire:</w:t>
      </w:r>
      <w:r>
        <w:t xml:space="preserve"> </w:t>
      </w:r>
      <w:r>
        <w:t xml:space="preserve">Under 90 days for University Lecturer position</w:t>
      </w:r>
    </w:p>
    <w:p>
      <w:pPr>
        <w:numPr>
          <w:ilvl w:val="0"/>
          <w:numId w:val="1006"/>
        </w:numPr>
        <w:pStyle w:val="Compact"/>
      </w:pPr>
      <w:r>
        <w:rPr>
          <w:bCs/>
          <w:b/>
        </w:rPr>
        <w:t xml:space="preserve">Candidate Experience Score:</w:t>
      </w:r>
      <w:r>
        <w:t xml:space="preserve"> </w:t>
      </w:r>
      <w:r>
        <w:t xml:space="preserve">Minimum 4.2/5 on post-application surveys focusing on Wellington-specific value proposition</w:t>
      </w:r>
    </w:p>
    <w:bookmarkEnd w:id="29"/>
    <w:bookmarkStart w:id="30" w:name="conclusion-the-wellington-advantage"/>
    <w:p>
      <w:pPr>
        <w:pStyle w:val="Heading2"/>
      </w:pPr>
      <w:r>
        <w:t xml:space="preserve">Conclusion: The Wellington Advantage</w:t>
      </w:r>
    </w:p>
    <w:p>
      <w:pPr>
        <w:pStyle w:val="FirstParagraph"/>
      </w:pPr>
      <w:r>
        <w:t xml:space="preserve">This Marketing Plan transforms the University Lecturer recruitment process into a strategic showcase of New Zealand Wellington's exceptional academic ecosystem. By embedding the city's unique cultural fabric, urban innovation potential, and quality-of-life attributes directly into our employer branding, we move beyond transactional hiring to create an authentic connection with candidates who share our vision for education that thrives within Aotearoa. The campaign doesn't just advertise a job vacancy – it markets an invitation to contribute to Wellington's identity as New Zealand's leading educational and cultural capital. As the 2023 NZ Ministry of Education report confirms, universities in Wellington consistently outperform national averages in graduate employability (87% vs 79%) – a fact we will prominently feature in all candidate communications. This approach ensures every application is not merely processed but actively cultivated as part of our long-term strategy to position [University Name] as the premier destination for academic excellence within New Zealand Wellington's vibrant knowledge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New Zealand Wellington</dc:title>
  <dc:creator/>
  <dc:language>en</dc:language>
  <cp:keywords/>
  <dcterms:created xsi:type="dcterms:W3CDTF">2026-07-24T20:43:05Z</dcterms:created>
  <dcterms:modified xsi:type="dcterms:W3CDTF">2026-07-24T20:43:05Z</dcterms:modified>
</cp:coreProperties>
</file>

<file path=docProps/custom.xml><?xml version="1.0" encoding="utf-8"?>
<Properties xmlns="http://schemas.openxmlformats.org/officeDocument/2006/custom-properties" xmlns:vt="http://schemas.openxmlformats.org/officeDocument/2006/docPropsVTypes"/>
</file>