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for</w:t>
      </w:r>
      <w:r>
        <w:t xml:space="preserve"> </w:t>
      </w:r>
      <w:r>
        <w:t xml:space="preserve">Lima,</w:t>
      </w:r>
      <w:r>
        <w:t xml:space="preserve"> </w:t>
      </w:r>
      <w:r>
        <w:t xml:space="preserve">Peru</w:t>
      </w:r>
    </w:p>
    <w:bookmarkStart w:id="30" w:name="Xb4a503503f3acb235480f65b6b641f4adb4f058"/>
    <w:p>
      <w:pPr>
        <w:pStyle w:val="Heading1"/>
      </w:pPr>
      <w:r>
        <w:t xml:space="preserve">Marketing Plan: Strategic Recruitment and Retention of University Lecturers in Lima, Peru</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qualified University Lecturers within higher education institutions across Lima, Peru. Focusing on the unique academic, cultural, and economic landscape of Peru Lima, this plan leverages localized recruitment channels, competitive value propositions, and institutional partnerships to attract and retain top-tier faculty. With Lima housing over 60% of Peru's university students (INEI 2023), securing skilled University Lecturers is paramount for institutional excellence and national educational development. This Marketing Plan directly responds to the urgent need for sustainable lecturer recruitment in a market where vacancy rates exceed 25% in key disciplines like engineering and health sciences.</w:t>
      </w:r>
    </w:p>
    <w:bookmarkEnd w:id="20"/>
    <w:bookmarkStart w:id="21" w:name="X416ae092ede3f544a4769d1633e5a727aff3046"/>
    <w:p>
      <w:pPr>
        <w:pStyle w:val="Heading2"/>
      </w:pPr>
      <w:r>
        <w:t xml:space="preserve">Market Analysis: The Lima University Landscape</w:t>
      </w:r>
    </w:p>
    <w:p>
      <w:pPr>
        <w:pStyle w:val="FirstParagraph"/>
      </w:pPr>
      <w:r>
        <w:t xml:space="preserve">Lima serves as Peru's academic epicenter, hosting 73% of the country’s universities, including prestigious institutions like Pontificia Universidad Católica del Perú (PUCP), Universidad de Lima, and Universidad Nacional Mayor de San Marcos (UNMSM). Despite this concentration, a severe University Lecturer shortage persists. Key challenges include:</w:t>
      </w:r>
    </w:p>
    <w:p>
      <w:pPr>
        <w:numPr>
          <w:ilvl w:val="0"/>
          <w:numId w:val="1001"/>
        </w:numPr>
        <w:pStyle w:val="Compact"/>
      </w:pPr>
      <w:r>
        <w:rPr>
          <w:bCs/>
          <w:b/>
        </w:rPr>
        <w:t xml:space="preserve">Competitive Salaries:</w:t>
      </w:r>
      <w:r>
        <w:t xml:space="preserve"> </w:t>
      </w:r>
      <w:r>
        <w:t xml:space="preserve">Public university lecturer salaries average S/2,400–S/3,200 monthly (approx. $650–$875 USD), significantly below private sector opportunities in Lima's booming finance and tech sectors.</w:t>
      </w:r>
    </w:p>
    <w:p>
      <w:pPr>
        <w:numPr>
          <w:ilvl w:val="0"/>
          <w:numId w:val="1001"/>
        </w:numPr>
        <w:pStyle w:val="Compact"/>
      </w:pPr>
      <w:r>
        <w:rPr>
          <w:bCs/>
          <w:b/>
        </w:rPr>
        <w:t xml:space="preserve">Cultural Factors:</w:t>
      </w:r>
      <w:r>
        <w:t xml:space="preserve"> </w:t>
      </w:r>
      <w:r>
        <w:t xml:space="preserve">High value placed on work-life balance; many academics prefer part-time roles or dual employment due to low compensation.</w:t>
      </w:r>
    </w:p>
    <w:p>
      <w:pPr>
        <w:numPr>
          <w:ilvl w:val="0"/>
          <w:numId w:val="1001"/>
        </w:numPr>
        <w:pStyle w:val="Compact"/>
      </w:pPr>
      <w:r>
        <w:rPr>
          <w:bCs/>
          <w:b/>
        </w:rPr>
        <w:t xml:space="preserve">Regional Disparity:</w:t>
      </w:r>
      <w:r>
        <w:t xml:space="preserve"> </w:t>
      </w:r>
      <w:r>
        <w:t xml:space="preserve">80% of qualified candidates are concentrated in Lima, yet 42% of universities outside Lima struggle with recruitment—creating intense competition for talent within the capital alone.</w:t>
      </w:r>
    </w:p>
    <w:bookmarkEnd w:id="21"/>
    <w:bookmarkStart w:id="22" w:name="X0e52cfa7f492f5cfb4bbe9e039518600c690db5"/>
    <w:p>
      <w:pPr>
        <w:pStyle w:val="Heading2"/>
      </w:pPr>
      <w:r>
        <w:t xml:space="preserve">Target Audience: The Ideal University Lecturer in Peru Lima</w:t>
      </w:r>
    </w:p>
    <w:p>
      <w:pPr>
        <w:pStyle w:val="FirstParagraph"/>
      </w:pPr>
      <w:r>
        <w:t xml:space="preserve">This plan targets two primary segments:</w:t>
      </w:r>
    </w:p>
    <w:p>
      <w:pPr>
        <w:numPr>
          <w:ilvl w:val="0"/>
          <w:numId w:val="1002"/>
        </w:numPr>
        <w:pStyle w:val="Compact"/>
      </w:pPr>
      <w:r>
        <w:rPr>
          <w:bCs/>
          <w:b/>
        </w:rPr>
        <w:t xml:space="preserve">Local PhD Holders:</w:t>
      </w:r>
      <w:r>
        <w:t xml:space="preserve"> </w:t>
      </w:r>
      <w:r>
        <w:t xml:space="preserve">Peruvian graduates (especially from UNMSM, PUCP) seeking stable academic roles. They value institutional prestige and community ties.</w:t>
      </w:r>
    </w:p>
    <w:p>
      <w:pPr>
        <w:numPr>
          <w:ilvl w:val="0"/>
          <w:numId w:val="1002"/>
        </w:numPr>
        <w:pStyle w:val="Compact"/>
      </w:pPr>
      <w:r>
        <w:rPr>
          <w:bCs/>
          <w:b/>
        </w:rPr>
        <w:t xml:space="preserve">International Academics:</w:t>
      </w:r>
      <w:r>
        <w:t xml:space="preserve"> </w:t>
      </w:r>
      <w:r>
        <w:t xml:space="preserve">Global candidates with Lima-based connections or interest in Latin American education (e.g., Spanish-speaking scholars from Spain, Colombia). They prioritize cultural immersion and research opportunities.</w:t>
      </w:r>
    </w:p>
    <w:bookmarkEnd w:id="22"/>
    <w:bookmarkStart w:id="23" w:name="unique-value-proposition-uvp"/>
    <w:p>
      <w:pPr>
        <w:pStyle w:val="Heading2"/>
      </w:pPr>
      <w:r>
        <w:t xml:space="preserve">Unique Value Proposition (UVP)</w:t>
      </w:r>
    </w:p>
    <w:p>
      <w:pPr>
        <w:pStyle w:val="FirstParagraph"/>
      </w:pPr>
      <w:r>
        <w:t xml:space="preserve">We position our University Lecturer roles as the optimal career catalyst for professional growth within Peru Lima's evolving education sector. Our UVP combines:</w:t>
      </w:r>
    </w:p>
    <w:p>
      <w:pPr>
        <w:numPr>
          <w:ilvl w:val="0"/>
          <w:numId w:val="1003"/>
        </w:numPr>
        <w:pStyle w:val="Compact"/>
      </w:pPr>
      <w:r>
        <w:rPr>
          <w:bCs/>
          <w:b/>
        </w:rPr>
        <w:t xml:space="preserve">Competitive Financial Package:</w:t>
      </w:r>
      <w:r>
        <w:t xml:space="preserve"> </w:t>
      </w:r>
      <w:r>
        <w:t xml:space="preserve">15% salary premium over public universities + housing allowance (critical for Lima’s high cost of living).</w:t>
      </w:r>
    </w:p>
    <w:p>
      <w:pPr>
        <w:numPr>
          <w:ilvl w:val="0"/>
          <w:numId w:val="1003"/>
        </w:numPr>
        <w:pStyle w:val="Compact"/>
      </w:pPr>
      <w:r>
        <w:rPr>
          <w:bCs/>
          <w:b/>
        </w:rPr>
        <w:t xml:space="preserve">Institutional Prestige &amp; Visibility:</w:t>
      </w:r>
      <w:r>
        <w:t xml:space="preserve"> </w:t>
      </w:r>
      <w:r>
        <w:t xml:space="preserve">Opportunity to teach in top-tier Lima institutions with international accreditation (e.g., SAPIENZA, AACSB).</w:t>
      </w:r>
    </w:p>
    <w:p>
      <w:pPr>
        <w:numPr>
          <w:ilvl w:val="0"/>
          <w:numId w:val="1003"/>
        </w:numPr>
        <w:pStyle w:val="Compact"/>
      </w:pPr>
      <w:r>
        <w:rPr>
          <w:bCs/>
          <w:b/>
        </w:rPr>
        <w:t xml:space="preserve">Professional Development:</w:t>
      </w:r>
      <w:r>
        <w:t xml:space="preserve"> </w:t>
      </w:r>
      <w:r>
        <w:t xml:space="preserve">Annual $1,000 USD research grant + paid attendance at regional conferences (e.g., ALAEDU in Lima).</w:t>
      </w:r>
    </w:p>
    <w:bookmarkEnd w:id="23"/>
    <w:bookmarkStart w:id="26" w:name="marketing-strategy-tactics"/>
    <w:p>
      <w:pPr>
        <w:pStyle w:val="Heading2"/>
      </w:pPr>
      <w:r>
        <w:t xml:space="preserve">Marketing Strategy &amp; Tactics</w:t>
      </w:r>
    </w:p>
    <w:p>
      <w:pPr>
        <w:pStyle w:val="FirstParagraph"/>
      </w:pPr>
      <w:r>
        <w:t xml:space="preserve">This Marketing Plan employs a dual-channel approach tailored to Lima’s academic ecosystem:</w:t>
      </w:r>
    </w:p>
    <w:bookmarkStart w:id="24" w:name="digital-recruitment-peru-focused"/>
    <w:p>
      <w:pPr>
        <w:pStyle w:val="Heading3"/>
      </w:pPr>
      <w:r>
        <w:t xml:space="preserve">1. Digital Recruitment (Peru-Focused)</w:t>
      </w:r>
    </w:p>
    <w:p>
      <w:pPr>
        <w:numPr>
          <w:ilvl w:val="0"/>
          <w:numId w:val="1004"/>
        </w:numPr>
        <w:pStyle w:val="Compact"/>
      </w:pPr>
      <w:r>
        <w:rPr>
          <w:bCs/>
          <w:b/>
        </w:rPr>
        <w:t xml:space="preserve">LinkedIn &amp; Facebook Targeting:</w:t>
      </w:r>
      <w:r>
        <w:t xml:space="preserve"> </w:t>
      </w:r>
      <w:r>
        <w:t xml:space="preserve">Geo-fenced campaigns targeting users in Lima with keywords like "PhD Peru," "University Professor," and connections to Peruvian universities. Content highlights testimonials from current lecturers in Lima.</w:t>
      </w:r>
    </w:p>
    <w:p>
      <w:pPr>
        <w:numPr>
          <w:ilvl w:val="0"/>
          <w:numId w:val="1004"/>
        </w:numPr>
        <w:pStyle w:val="Compact"/>
      </w:pPr>
      <w:r>
        <w:rPr>
          <w:bCs/>
          <w:b/>
        </w:rPr>
        <w:t xml:space="preserve">WhatsApp &amp; Instagram Campaigns:</w:t>
      </w:r>
      <w:r>
        <w:t xml:space="preserve"> </w:t>
      </w:r>
      <w:r>
        <w:t xml:space="preserve">Leveraging high mobile penetration (92% of Peruvians). Short videos showcasing campus life in Lima (e.g., "A Day as a Lecturer at Universidad de Lima") distributed via university alumni groups.</w:t>
      </w:r>
    </w:p>
    <w:p>
      <w:pPr>
        <w:numPr>
          <w:ilvl w:val="0"/>
          <w:numId w:val="1004"/>
        </w:numPr>
        <w:pStyle w:val="Compact"/>
      </w:pPr>
      <w:r>
        <w:rPr>
          <w:bCs/>
          <w:b/>
        </w:rPr>
        <w:t xml:space="preserve">Peru-Specific Job Platforms:</w:t>
      </w:r>
      <w:r>
        <w:t xml:space="preserve"> </w:t>
      </w:r>
      <w:r>
        <w:t xml:space="preserve">Partnerships with local job sites like</w:t>
      </w:r>
      <w:r>
        <w:t xml:space="preserve"> </w:t>
      </w:r>
      <w:r>
        <w:rPr>
          <w:iCs/>
          <w:i/>
        </w:rPr>
        <w:t xml:space="preserve">CompuTrabajo Perú</w:t>
      </w:r>
      <w:r>
        <w:t xml:space="preserve"> </w:t>
      </w:r>
      <w:r>
        <w:t xml:space="preserve">and</w:t>
      </w:r>
      <w:r>
        <w:t xml:space="preserve"> </w:t>
      </w:r>
      <w:r>
        <w:rPr>
          <w:iCs/>
          <w:i/>
        </w:rPr>
        <w:t xml:space="preserve">Candidatos Perú</w:t>
      </w:r>
      <w:r>
        <w:t xml:space="preserve">, using Spanish-language ads emphasizing "Lima-based roles" and "University Lecturer" keywords.</w:t>
      </w:r>
    </w:p>
    <w:bookmarkEnd w:id="24"/>
    <w:bookmarkStart w:id="25" w:name="on-ground-engagement-peru-lima-focus"/>
    <w:p>
      <w:pPr>
        <w:pStyle w:val="Heading3"/>
      </w:pPr>
      <w:r>
        <w:t xml:space="preserve">2. On-Ground Engagement (Peru Lima Focus)</w:t>
      </w:r>
    </w:p>
    <w:p>
      <w:pPr>
        <w:numPr>
          <w:ilvl w:val="0"/>
          <w:numId w:val="1005"/>
        </w:numPr>
        <w:pStyle w:val="Compact"/>
      </w:pPr>
      <w:r>
        <w:rPr>
          <w:bCs/>
          <w:b/>
        </w:rPr>
        <w:t xml:space="preserve">Lima University Career Fairs:</w:t>
      </w:r>
      <w:r>
        <w:t xml:space="preserve"> </w:t>
      </w:r>
      <w:r>
        <w:t xml:space="preserve">Quarterly events at major universities (e.g., PUCP, Universidad San Martín de Porres), featuring interactive booths with current lecturers sharing their Lima experience.</w:t>
      </w:r>
    </w:p>
    <w:p>
      <w:pPr>
        <w:numPr>
          <w:ilvl w:val="0"/>
          <w:numId w:val="1005"/>
        </w:numPr>
        <w:pStyle w:val="Compact"/>
      </w:pPr>
      <w:r>
        <w:rPr>
          <w:bCs/>
          <w:b/>
        </w:rPr>
        <w:t xml:space="preserve">Conferences &amp; Seminars:</w:t>
      </w:r>
      <w:r>
        <w:t xml:space="preserve"> </w:t>
      </w:r>
      <w:r>
        <w:t xml:space="preserve">Sponsorship of the Lima International Education Summit (LIES 2024), hosting workshops on "Career Advancement for University Lecturers in Peru."</w:t>
      </w:r>
    </w:p>
    <w:p>
      <w:pPr>
        <w:numPr>
          <w:ilvl w:val="0"/>
          <w:numId w:val="1005"/>
        </w:numPr>
        <w:pStyle w:val="Compact"/>
      </w:pPr>
      <w:r>
        <w:rPr>
          <w:bCs/>
          <w:b/>
        </w:rPr>
        <w:t xml:space="preserve">Community Partnerships:</w:t>
      </w:r>
      <w:r>
        <w:t xml:space="preserve"> </w:t>
      </w:r>
      <w:r>
        <w:t xml:space="preserve">Collaborating with CONCYTEC (Peru’s science agency) to co-host research symposiums, positioning lecturers as key contributors to national innovation.</w:t>
      </w:r>
    </w:p>
    <w:bookmarkEnd w:id="25"/>
    <w:bookmarkEnd w:id="26"/>
    <w:bookmarkStart w:id="27"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Tactic</w:t>
            </w:r>
          </w:p>
        </w:tc>
        <w:tc>
          <w:tcPr/>
          <w:p>
            <w:pPr>
              <w:pStyle w:val="Compact"/>
              <w:jc w:val="left"/>
            </w:pPr>
            <w:r>
              <w:t xml:space="preserve">Q1 2024</w:t>
            </w:r>
          </w:p>
        </w:tc>
        <w:tc>
          <w:tcPr/>
          <w:p>
            <w:pPr>
              <w:pStyle w:val="Compact"/>
              <w:jc w:val="left"/>
            </w:pPr>
            <w:r>
              <w:t xml:space="preserve">Q3 2024</w:t>
            </w:r>
          </w:p>
        </w:tc>
        <w:tc>
          <w:tcPr/>
          <w:p>
            <w:pPr>
              <w:pStyle w:val="Compact"/>
              <w:jc w:val="left"/>
            </w:pPr>
            <w:r>
              <w:t xml:space="preserve">Total Budget (USD)</w:t>
            </w:r>
          </w:p>
        </w:tc>
      </w:tr>
      <w:tr>
        <w:tc>
          <w:tcPr/>
          <w:p>
            <w:pPr>
              <w:pStyle w:val="Compact"/>
              <w:jc w:val="left"/>
            </w:pPr>
            <w:r>
              <w:t xml:space="preserve">Digital Ads (LinkedIn/Facebook)</w:t>
            </w:r>
          </w:p>
        </w:tc>
        <w:tc>
          <w:tcPr/>
          <w:p>
            <w:pPr>
              <w:pStyle w:val="Compact"/>
              <w:jc w:val="left"/>
            </w:pPr>
            <w:r>
              <w:t xml:space="preserve">$3,500</w:t>
            </w:r>
          </w:p>
        </w:tc>
        <w:tc>
          <w:tcPr/>
          <w:p>
            <w:pPr>
              <w:pStyle w:val="Compact"/>
              <w:jc w:val="left"/>
            </w:pPr>
            <w:r>
              <w:t xml:space="preserve">$2,500</w:t>
            </w:r>
          </w:p>
        </w:tc>
        <w:tc>
          <w:tcPr/>
          <w:p>
            <w:pPr>
              <w:pStyle w:val="Compact"/>
              <w:jc w:val="left"/>
            </w:pPr>
            <w:r>
              <w:t xml:space="preserve">$6,000</w:t>
            </w:r>
          </w:p>
        </w:tc>
      </w:tr>
      <w:tr>
        <w:tc>
          <w:tcPr/>
          <w:p>
            <w:pPr>
              <w:pStyle w:val="Compact"/>
              <w:jc w:val="left"/>
            </w:pPr>
            <w:r>
              <w:t xml:space="preserve">University Career Fairs (Lima)</w:t>
            </w:r>
          </w:p>
        </w:tc>
        <w:tc>
          <w:tcPr/>
          <w:p>
            <w:pPr>
              <w:pStyle w:val="Compact"/>
              <w:jc w:val="left"/>
            </w:pPr>
            <w:r>
              <w:t xml:space="preserve">$1,800</w:t>
            </w:r>
          </w:p>
        </w:tc>
        <w:tc>
          <w:tcPr/>
          <w:p>
            <w:pPr>
              <w:pStyle w:val="Compact"/>
              <w:jc w:val="left"/>
            </w:pPr>
            <w:r>
              <w:t xml:space="preserve">$1,500</w:t>
            </w:r>
          </w:p>
        </w:tc>
        <w:tc>
          <w:tcPr/>
          <w:p>
            <w:pPr>
              <w:pStyle w:val="Compact"/>
              <w:jc w:val="left"/>
            </w:pPr>
            <w:r>
              <w:t xml:space="preserve">$3,300</w:t>
            </w:r>
          </w:p>
        </w:tc>
      </w:tr>
      <w:tr>
        <w:tc>
          <w:tcPr/>
          <w:p>
            <w:pPr>
              <w:pStyle w:val="Compact"/>
              <w:jc w:val="left"/>
            </w:pPr>
            <w:r>
              <w:t xml:space="preserve">Conference Sponsorships (LIES 2024)</w:t>
            </w:r>
          </w:p>
        </w:tc>
        <w:tc>
          <w:tcPr/>
          <w:p>
            <w:pPr>
              <w:pStyle w:val="Compact"/>
              <w:jc w:val="left"/>
            </w:pPr>
            <w:r>
              <w:t xml:space="preserve">-</w:t>
            </w:r>
          </w:p>
        </w:tc>
        <w:tc>
          <w:tcPr/>
          <w:p>
            <w:pPr>
              <w:pStyle w:val="Compact"/>
              <w:jc w:val="left"/>
            </w:pPr>
            <w:r>
              <w:t xml:space="preserve">$4,200</w:t>
            </w:r>
          </w:p>
        </w:tc>
        <w:tc>
          <w:tcPr/>
          <w:p>
            <w:pPr>
              <w:pStyle w:val="Compact"/>
              <w:jc w:val="left"/>
            </w:pPr>
            <w:r>
              <w:t xml:space="preserve">$4,200</w:t>
            </w:r>
          </w:p>
        </w:tc>
      </w:tr>
      <w:tr>
        <w:tc>
          <w:tcPr/>
          <w:p>
            <w:pPr>
              <w:pStyle w:val="Compact"/>
              <w:jc w:val="left"/>
            </w:pPr>
            <w:r>
              <w:t xml:space="preserve">Total</w:t>
            </w:r>
          </w:p>
        </w:tc>
        <w:tc>
          <w:tcPr/>
          <w:p>
            <w:pPr>
              <w:pStyle w:val="Compact"/>
              <w:jc w:val="left"/>
            </w:pPr>
            <w:r>
              <w:t xml:space="preserve">$13,500</w:t>
            </w:r>
          </w:p>
        </w:tc>
        <w:tc>
          <w:tcPr/>
          <w:p>
            <w:pPr>
              <w:pStyle w:val="Compact"/>
            </w:pPr>
          </w:p>
        </w:tc>
        <w:tc>
          <w:tcPr/>
          <w:p>
            <w:pPr>
              <w:pStyle w:val="Compact"/>
            </w:pPr>
          </w:p>
        </w:tc>
      </w:tr>
    </w:tbl>
    <w:bookmarkEnd w:id="27"/>
    <w:bookmarkStart w:id="28" w:name="success-metrics-sustainability"/>
    <w:p>
      <w:pPr>
        <w:pStyle w:val="Heading2"/>
      </w:pPr>
      <w:r>
        <w:t xml:space="preserve">Success Metrics &amp; Sustainability</w:t>
      </w:r>
    </w:p>
    <w:p>
      <w:pPr>
        <w:pStyle w:val="FirstParagraph"/>
      </w:pPr>
      <w:r>
        <w:t xml:space="preserve">This Marketing Plan will be measured through:</w:t>
      </w:r>
    </w:p>
    <w:p>
      <w:pPr>
        <w:numPr>
          <w:ilvl w:val="0"/>
          <w:numId w:val="1006"/>
        </w:numPr>
        <w:pStyle w:val="Compact"/>
      </w:pPr>
      <w:r>
        <w:rPr>
          <w:bCs/>
          <w:b/>
        </w:rPr>
        <w:t xml:space="preserve">Short-Term:</w:t>
      </w:r>
      <w:r>
        <w:t xml:space="preserve"> </w:t>
      </w:r>
      <w:r>
        <w:t xml:space="preserve">45% increase in qualified University Lecturer applications from Lima (within 6 months).</w:t>
      </w:r>
    </w:p>
    <w:p>
      <w:pPr>
        <w:numPr>
          <w:ilvl w:val="0"/>
          <w:numId w:val="1006"/>
        </w:numPr>
        <w:pStyle w:val="Compact"/>
      </w:pPr>
      <w:r>
        <w:rPr>
          <w:bCs/>
          <w:b/>
        </w:rPr>
        <w:t xml:space="preserve">Mid-Term:</w:t>
      </w:r>
      <w:r>
        <w:t xml:space="preserve"> </w:t>
      </w:r>
      <w:r>
        <w:t xml:space="preserve">30% reduction in lecturer vacancy rates at partner institutions (12 months).</w:t>
      </w:r>
    </w:p>
    <w:p>
      <w:pPr>
        <w:numPr>
          <w:ilvl w:val="0"/>
          <w:numId w:val="1006"/>
        </w:numPr>
        <w:pStyle w:val="Compact"/>
      </w:pPr>
      <w:r>
        <w:rPr>
          <w:bCs/>
          <w:b/>
        </w:rPr>
        <w:t xml:space="preserve">Sustainability:</w:t>
      </w:r>
      <w:r>
        <w:t xml:space="preserve"> </w:t>
      </w:r>
      <w:r>
        <w:t xml:space="preserve">Development of a "Lima University Lecturer Alumni Network" to foster peer mentorship and reduce turnover.</w:t>
      </w:r>
    </w:p>
    <w:bookmarkEnd w:id="28"/>
    <w:bookmarkStart w:id="29" w:name="Xcb7bed4fa52bdab4cd1fc0fa483a87b801324e6"/>
    <w:p>
      <w:pPr>
        <w:pStyle w:val="Heading2"/>
      </w:pPr>
      <w:r>
        <w:t xml:space="preserve">Conclusion: Elevating Higher Education in Peru Lima</w:t>
      </w:r>
    </w:p>
    <w:p>
      <w:pPr>
        <w:pStyle w:val="FirstParagraph"/>
      </w:pPr>
      <w:r>
        <w:t xml:space="preserve">This Marketing Plan is not merely a recruitment tool—it is an investment in the future of education within Peru Lima. By addressing the specific economic, cultural, and professional needs of University Lecturers through hyper-localized strategies, institutions can transform from competitors into preferred employers. In a city where academic excellence drives Peru’s national development agenda, securing top-tier lecturers is non-negotiable. This plan delivers actionable steps to position Lima-based universities as pioneers in faculty recruitment, ensuring that every University Lecturer hired becomes a catalyst for educational innovation across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for Lima, Peru</dc:title>
  <dc:creator/>
  <dc:language>en</dc:language>
  <cp:keywords/>
  <dcterms:created xsi:type="dcterms:W3CDTF">2026-07-23T10:06:16Z</dcterms:created>
  <dcterms:modified xsi:type="dcterms:W3CDTF">2026-07-23T10:06:16Z</dcterms:modified>
</cp:coreProperties>
</file>

<file path=docProps/custom.xml><?xml version="1.0" encoding="utf-8"?>
<Properties xmlns="http://schemas.openxmlformats.org/officeDocument/2006/custom-properties" xmlns:vt="http://schemas.openxmlformats.org/officeDocument/2006/docPropsVTypes"/>
</file>