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Strategy</w:t>
      </w:r>
      <w:r>
        <w:t xml:space="preserve"> </w:t>
      </w:r>
      <w:r>
        <w:t xml:space="preserve">for</w:t>
      </w:r>
      <w:r>
        <w:t xml:space="preserve"> </w:t>
      </w:r>
      <w:r>
        <w:t xml:space="preserve">Qatar</w:t>
      </w:r>
      <w:r>
        <w:t xml:space="preserve"> </w:t>
      </w:r>
      <w:r>
        <w:t xml:space="preserve">Doha</w:t>
      </w:r>
    </w:p>
    <w:bookmarkStart w:id="32" w:name="X25974c0696e17d74dbab523061c5ec475fffa35"/>
    <w:p>
      <w:pPr>
        <w:pStyle w:val="Heading1"/>
      </w:pPr>
      <w:r>
        <w:t xml:space="preserve">Strategic Marketing Plan for Attracting and Retaining Elite University Lecturers in Qatar Doha</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world-class University Lecturers for institutions across Qatar Doha. Aligned with the national vision of Qatar National Vision 2030, this plan addresses the critical need for academic excellence within Education City and other higher education hubs. By positioning Qatar Doha as an unparalleled destination for academic professionals, we will establish a sustainable pipeline of University Lecturers who drive innovation, research, and student success. This document serves as a roadmap for universities to market their opportunities effectively to global lecturer talent.</w:t>
      </w:r>
    </w:p>
    <w:bookmarkEnd w:id="20"/>
    <w:bookmarkStart w:id="21" w:name="X089c09196a854cf48284ac7112ac1f61a09b1ce"/>
    <w:p>
      <w:pPr>
        <w:pStyle w:val="Heading2"/>
      </w:pPr>
      <w:r>
        <w:t xml:space="preserve">Market Analysis: Qatar Doha's Academic Landscape</w:t>
      </w:r>
    </w:p>
    <w:p>
      <w:pPr>
        <w:pStyle w:val="FirstParagraph"/>
      </w:pPr>
      <w:r>
        <w:t xml:space="preserve">Qatar Doha is experiencing exponential growth in higher education, driven by government investment through institutions like the Qatar University (QU), Hamad Bin Khalifa University (HBKU), and Education City partners (e.g., Carnegie Mellon, Georgetown). The demand for specialized University Lecturers exceeds supply across STEM, healthcare, engineering, and sustainability disciplines. Key market insights include:</w:t>
      </w:r>
    </w:p>
    <w:p>
      <w:pPr>
        <w:numPr>
          <w:ilvl w:val="0"/>
          <w:numId w:val="1001"/>
        </w:numPr>
        <w:pStyle w:val="Compact"/>
      </w:pPr>
      <w:r>
        <w:rPr>
          <w:bCs/>
          <w:b/>
        </w:rPr>
        <w:t xml:space="preserve">Government Priority:</w:t>
      </w:r>
      <w:r>
        <w:t xml:space="preserve"> </w:t>
      </w:r>
      <w:r>
        <w:t xml:space="preserve">Qatar's National Vision 2030 prioritizes knowledge-based economic transformation, creating a strategic imperative to attract global academic talent.</w:t>
      </w:r>
    </w:p>
    <w:p>
      <w:pPr>
        <w:numPr>
          <w:ilvl w:val="0"/>
          <w:numId w:val="1001"/>
        </w:numPr>
        <w:pStyle w:val="Compact"/>
      </w:pPr>
      <w:r>
        <w:rPr>
          <w:bCs/>
          <w:b/>
        </w:rPr>
        <w:t xml:space="preserve">Cultural Appeal:</w:t>
      </w:r>
      <w:r>
        <w:t xml:space="preserve"> </w:t>
      </w:r>
      <w:r>
        <w:t xml:space="preserve">Doha offers a safe, modern environment with cultural richness, tax-free salaries (up to 35% higher than comparable Western cities), and world-class infrastructure.</w:t>
      </w:r>
    </w:p>
    <w:p>
      <w:pPr>
        <w:numPr>
          <w:ilvl w:val="0"/>
          <w:numId w:val="1001"/>
        </w:numPr>
        <w:pStyle w:val="Compact"/>
      </w:pPr>
      <w:r>
        <w:rPr>
          <w:bCs/>
          <w:b/>
        </w:rPr>
        <w:t xml:space="preserve">Competitive Gap:</w:t>
      </w:r>
      <w:r>
        <w:t xml:space="preserve"> </w:t>
      </w:r>
      <w:r>
        <w:t xml:space="preserve">Existing recruitment efforts lack a unified marketing strategy targeting University Lecturers' specific career aspirations beyond salary.</w:t>
      </w:r>
    </w:p>
    <w:bookmarkEnd w:id="21"/>
    <w:bookmarkStart w:id="22" w:name="X3ca96c5507664fdb05c754bb5571fef30d32b85"/>
    <w:p>
      <w:pPr>
        <w:pStyle w:val="Heading2"/>
      </w:pPr>
      <w:r>
        <w:t xml:space="preserve">Target Audience: The Modern University Lecturer in Qatar Doha</w:t>
      </w:r>
    </w:p>
    <w:p>
      <w:pPr>
        <w:pStyle w:val="FirstParagraph"/>
      </w:pPr>
      <w:r>
        <w:t xml:space="preserve">This plan focuses on mid-to-senior-level University Lecturers (PhD holders, 5+ years experience) with international exposure. Key personas include:</w:t>
      </w:r>
    </w:p>
    <w:p>
      <w:pPr>
        <w:numPr>
          <w:ilvl w:val="0"/>
          <w:numId w:val="1002"/>
        </w:numPr>
        <w:pStyle w:val="Compact"/>
      </w:pPr>
      <w:r>
        <w:rPr>
          <w:bCs/>
          <w:b/>
        </w:rPr>
        <w:t xml:space="preserve">Research-Oriented Academics:</w:t>
      </w:r>
      <w:r>
        <w:t xml:space="preserve"> </w:t>
      </w:r>
      <w:r>
        <w:t xml:space="preserve">Seeking state-of-the-art labs, grants (e.g., Qatar National Research Fund), and collaboration with global institutions.</w:t>
      </w:r>
    </w:p>
    <w:p>
      <w:pPr>
        <w:numPr>
          <w:ilvl w:val="0"/>
          <w:numId w:val="1002"/>
        </w:numPr>
        <w:pStyle w:val="Compact"/>
      </w:pPr>
      <w:r>
        <w:rPr>
          <w:bCs/>
          <w:b/>
        </w:rPr>
        <w:t xml:space="preserve">Educational Innovators:</w:t>
      </w:r>
      <w:r>
        <w:t xml:space="preserve"> </w:t>
      </w:r>
      <w:r>
        <w:t xml:space="preserve">Valuing modern pedagogy tools, curriculum development support, and student diversity in Doha’s multicultural setting.</w:t>
      </w:r>
    </w:p>
    <w:p>
      <w:pPr>
        <w:numPr>
          <w:ilvl w:val="0"/>
          <w:numId w:val="1002"/>
        </w:numPr>
        <w:pStyle w:val="Compact"/>
      </w:pPr>
      <w:r>
        <w:rPr>
          <w:bCs/>
          <w:b/>
        </w:rPr>
        <w:t xml:space="preserve">Family-Focused Professionals:</w:t>
      </w:r>
      <w:r>
        <w:t xml:space="preserve"> </w:t>
      </w:r>
      <w:r>
        <w:t xml:space="preserve">Prioritizing excellent schools (e.g., American Academy Doha), healthcare access, and expatriate community integration.</w:t>
      </w:r>
    </w:p>
    <w:p>
      <w:pPr>
        <w:pStyle w:val="FirstParagraph"/>
      </w:pPr>
      <w:r>
        <w:t xml:space="preserve">Critically, the plan recognizes that University Lecturers in Qatar Doha do not merely seek employment—they seek a holistic career environment where their academic mission aligns with national development goals.</w:t>
      </w:r>
    </w:p>
    <w:bookmarkEnd w:id="22"/>
    <w:bookmarkStart w:id="23" w:name="marketing-objectives"/>
    <w:p>
      <w:pPr>
        <w:pStyle w:val="Heading2"/>
      </w:pPr>
      <w:r>
        <w:t xml:space="preserve">Marketing Objectives</w:t>
      </w:r>
    </w:p>
    <w:p>
      <w:pPr>
        <w:numPr>
          <w:ilvl w:val="0"/>
          <w:numId w:val="1003"/>
        </w:numPr>
        <w:pStyle w:val="Compact"/>
      </w:pPr>
      <w:r>
        <w:t xml:space="preserve">Reduce time-to-hire for critical lecturer roles by 30% within 18 months through targeted campaigns.</w:t>
      </w:r>
    </w:p>
    <w:p>
      <w:pPr>
        <w:numPr>
          <w:ilvl w:val="0"/>
          <w:numId w:val="1003"/>
        </w:numPr>
        <w:pStyle w:val="Compact"/>
      </w:pPr>
      <w:r>
        <w:t xml:space="preserve">Increase the proportion of high-impact University Lecturers (with publications in Q1 journals) by 25% within two years.</w:t>
      </w:r>
    </w:p>
    <w:p>
      <w:pPr>
        <w:numPr>
          <w:ilvl w:val="0"/>
          <w:numId w:val="1003"/>
        </w:numPr>
        <w:pStyle w:val="Compact"/>
      </w:pPr>
      <w:r>
        <w:t xml:space="preserve">Position Qatar Doha as the top destination for academics in MENA region, achieving 40% candidate preference over traditional hubs (e.g., UAE, Singapore).</w:t>
      </w:r>
    </w:p>
    <w:p>
      <w:pPr>
        <w:numPr>
          <w:ilvl w:val="0"/>
          <w:numId w:val="1003"/>
        </w:numPr>
        <w:pStyle w:val="Compact"/>
      </w:pPr>
      <w:r>
        <w:t xml:space="preserve">Attain a lecturer retention rate of ≥85% after three years through enhanced engagement.</w:t>
      </w:r>
    </w:p>
    <w:bookmarkEnd w:id="23"/>
    <w:bookmarkStart w:id="28" w:name="core-marketing-strategies-tactics"/>
    <w:p>
      <w:pPr>
        <w:pStyle w:val="Heading2"/>
      </w:pPr>
      <w:r>
        <w:t xml:space="preserve">Core Marketing Strategies &amp; Tactics</w:t>
      </w:r>
    </w:p>
    <w:bookmarkStart w:id="24" w:name="Xdb031a312245688a81187369c67a99f98f26b9f"/>
    <w:p>
      <w:pPr>
        <w:pStyle w:val="Heading3"/>
      </w:pPr>
      <w:r>
        <w:t xml:space="preserve">1. Brand Positioning: "Qatar Doha – Where Academia Meets Vision"</w:t>
      </w:r>
    </w:p>
    <w:p>
      <w:pPr>
        <w:pStyle w:val="FirstParagraph"/>
      </w:pPr>
      <w:r>
        <w:t xml:space="preserve">We will reframe the narrative from "job opportunity" to "mission-driven academic partnership." All materials will emphasize:</w:t>
      </w:r>
    </w:p>
    <w:p>
      <w:pPr>
        <w:numPr>
          <w:ilvl w:val="0"/>
          <w:numId w:val="1004"/>
        </w:numPr>
        <w:pStyle w:val="Compact"/>
      </w:pPr>
      <w:r>
        <w:rPr>
          <w:iCs/>
          <w:i/>
        </w:rPr>
        <w:t xml:space="preserve">Impact:</w:t>
      </w:r>
      <w:r>
        <w:t xml:space="preserve"> </w:t>
      </w:r>
      <w:r>
        <w:t xml:space="preserve">Direct contribution to Qatar’s knowledge economy via national projects (e.g., Carbon Capture, Space Program).</w:t>
      </w:r>
    </w:p>
    <w:p>
      <w:pPr>
        <w:numPr>
          <w:ilvl w:val="0"/>
          <w:numId w:val="1004"/>
        </w:numPr>
        <w:pStyle w:val="Compact"/>
      </w:pPr>
      <w:r>
        <w:rPr>
          <w:iCs/>
          <w:i/>
        </w:rPr>
        <w:t xml:space="preserve">Support System:</w:t>
      </w:r>
      <w:r>
        <w:t xml:space="preserve"> </w:t>
      </w:r>
      <w:r>
        <w:t xml:space="preserve">Dedicated relocation assistance, research grants, and mentorship networks within Doha's academic community.</w:t>
      </w:r>
    </w:p>
    <w:p>
      <w:pPr>
        <w:numPr>
          <w:ilvl w:val="0"/>
          <w:numId w:val="1004"/>
        </w:numPr>
        <w:pStyle w:val="Compact"/>
      </w:pPr>
      <w:r>
        <w:rPr>
          <w:iCs/>
          <w:i/>
        </w:rPr>
        <w:t xml:space="preserve">Lifestyle Integration:</w:t>
      </w:r>
      <w:r>
        <w:t xml:space="preserve"> </w:t>
      </w:r>
      <w:r>
        <w:t xml:space="preserve">Showcasing cultural experiences (e.g., Museum of Islamic Art), family-friendly amenities, and proximity to global travel hubs.</w:t>
      </w:r>
    </w:p>
    <w:bookmarkEnd w:id="24"/>
    <w:bookmarkStart w:id="25" w:name="digital-content-marketing"/>
    <w:p>
      <w:pPr>
        <w:pStyle w:val="Heading3"/>
      </w:pPr>
      <w:r>
        <w:t xml:space="preserve">2. Digital &amp; Content Marketing</w:t>
      </w:r>
    </w:p>
    <w:p>
      <w:pPr>
        <w:numPr>
          <w:ilvl w:val="0"/>
          <w:numId w:val="1005"/>
        </w:numPr>
        <w:pStyle w:val="Compact"/>
      </w:pPr>
      <w:r>
        <w:rPr>
          <w:bCs/>
          <w:b/>
        </w:rPr>
        <w:t xml:space="preserve">Targeted LinkedIn Campaigns:</w:t>
      </w:r>
      <w:r>
        <w:t xml:space="preserve"> </w:t>
      </w:r>
      <w:r>
        <w:t xml:space="preserve">Geo-fenced ads targeting University Lecturers in Europe/North America with content on Qatar’s research ecosystem (e.g., "How Our Doha Lab Advanced Solar Energy Research").</w:t>
      </w:r>
    </w:p>
    <w:p>
      <w:pPr>
        <w:numPr>
          <w:ilvl w:val="0"/>
          <w:numId w:val="1005"/>
        </w:numPr>
        <w:pStyle w:val="Compact"/>
      </w:pPr>
      <w:r>
        <w:rPr>
          <w:bCs/>
          <w:b/>
        </w:rPr>
        <w:t xml:space="preserve">Virtual Campus Tours:</w:t>
      </w:r>
      <w:r>
        <w:t xml:space="preserve"> </w:t>
      </w:r>
      <w:r>
        <w:t xml:space="preserve">360° immersive experiences of Doha campuses, labs, and neighborhoods via a dedicated microsite.</w:t>
      </w:r>
    </w:p>
    <w:p>
      <w:pPr>
        <w:numPr>
          <w:ilvl w:val="0"/>
          <w:numId w:val="1005"/>
        </w:numPr>
        <w:pStyle w:val="Compact"/>
      </w:pPr>
      <w:r>
        <w:rPr>
          <w:bCs/>
          <w:b/>
        </w:rPr>
        <w:t xml:space="preserve">Alumni Testimonials:</w:t>
      </w:r>
      <w:r>
        <w:t xml:space="preserve"> </w:t>
      </w:r>
      <w:r>
        <w:t xml:space="preserve">Video series featuring current University Lecturers in Qatar Doha discussing career growth and cultural adaptation (e.g., "Why I Chose HBKU Over Harvard").</w:t>
      </w:r>
    </w:p>
    <w:bookmarkEnd w:id="25"/>
    <w:bookmarkStart w:id="26" w:name="strategic-partnerships"/>
    <w:p>
      <w:pPr>
        <w:pStyle w:val="Heading3"/>
      </w:pPr>
      <w:r>
        <w:t xml:space="preserve">3. Strategic Partnerships</w:t>
      </w:r>
    </w:p>
    <w:p>
      <w:pPr>
        <w:numPr>
          <w:ilvl w:val="0"/>
          <w:numId w:val="1006"/>
        </w:numPr>
        <w:pStyle w:val="Compact"/>
      </w:pPr>
      <w:r>
        <w:rPr>
          <w:iCs/>
          <w:i/>
        </w:rPr>
        <w:t xml:space="preserve">Global Academic Networks:</w:t>
      </w:r>
      <w:r>
        <w:t xml:space="preserve"> </w:t>
      </w:r>
      <w:r>
        <w:t xml:space="preserve">Collaborate with universities (e.g., Oxford, ETH Zurich) to embed Qatar Doha opportunities in faculty newsletters and conferences.</w:t>
      </w:r>
    </w:p>
    <w:p>
      <w:pPr>
        <w:numPr>
          <w:ilvl w:val="0"/>
          <w:numId w:val="1006"/>
        </w:numPr>
        <w:pStyle w:val="Compact"/>
      </w:pPr>
      <w:r>
        <w:rPr>
          <w:iCs/>
          <w:i/>
        </w:rPr>
        <w:t xml:space="preserve">Qatar Foundation Events:</w:t>
      </w:r>
      <w:r>
        <w:t xml:space="preserve"> </w:t>
      </w:r>
      <w:r>
        <w:t xml:space="preserve">Sponsor keynote sessions at global education summits (e.g., World Education Summit) to showcase Doha as a hub for innovation.</w:t>
      </w:r>
    </w:p>
    <w:p>
      <w:pPr>
        <w:numPr>
          <w:ilvl w:val="0"/>
          <w:numId w:val="1006"/>
        </w:numPr>
        <w:pStyle w:val="Compact"/>
      </w:pPr>
      <w:r>
        <w:rPr>
          <w:iCs/>
          <w:i/>
        </w:rPr>
        <w:t xml:space="preserve">Talent Referral Program:</w:t>
      </w:r>
      <w:r>
        <w:t xml:space="preserve"> </w:t>
      </w:r>
      <w:r>
        <w:t xml:space="preserve">Incentivize current University Lecturers in Doha to refer peers with expedited visa processing and $5,000 bonuses.</w:t>
      </w:r>
    </w:p>
    <w:bookmarkEnd w:id="26"/>
    <w:bookmarkStart w:id="27" w:name="localized-engagement-in-qatar-doha"/>
    <w:p>
      <w:pPr>
        <w:pStyle w:val="Heading3"/>
      </w:pPr>
      <w:r>
        <w:t xml:space="preserve">4. Localized Engagement in Qatar Doha</w:t>
      </w:r>
    </w:p>
    <w:p>
      <w:pPr>
        <w:pStyle w:val="FirstParagraph"/>
      </w:pPr>
      <w:r>
        <w:t xml:space="preserve">On-the-ground activities tailored to the Doha context:</w:t>
      </w:r>
    </w:p>
    <w:p>
      <w:pPr>
        <w:numPr>
          <w:ilvl w:val="0"/>
          <w:numId w:val="1007"/>
        </w:numPr>
        <w:pStyle w:val="Compact"/>
      </w:pPr>
      <w:r>
        <w:rPr>
          <w:iCs/>
          <w:i/>
        </w:rPr>
        <w:t xml:space="preserve">University Lecturer Open Houses:</w:t>
      </w:r>
      <w:r>
        <w:t xml:space="preserve"> </w:t>
      </w:r>
      <w:r>
        <w:t xml:space="preserve">Quarterly events at Education City with Q&amp;A sessions featuring senior leadership and current lecturers.</w:t>
      </w:r>
    </w:p>
    <w:p>
      <w:pPr>
        <w:numPr>
          <w:ilvl w:val="0"/>
          <w:numId w:val="1007"/>
        </w:numPr>
        <w:pStyle w:val="Compact"/>
      </w:pPr>
      <w:r>
        <w:rPr>
          <w:iCs/>
          <w:i/>
        </w:rPr>
        <w:t xml:space="preserve">Cultural Integration Workshops:</w:t>
      </w:r>
      <w:r>
        <w:t xml:space="preserve"> </w:t>
      </w:r>
      <w:r>
        <w:t xml:space="preserve">Pre-arrival sessions on Emirati customs, language basics, and community resources to alleviate relocation anxiety.</w:t>
      </w:r>
    </w:p>
    <w:p>
      <w:pPr>
        <w:numPr>
          <w:ilvl w:val="0"/>
          <w:numId w:val="1007"/>
        </w:numPr>
        <w:pStyle w:val="Compact"/>
      </w:pPr>
      <w:r>
        <w:rPr>
          <w:iCs/>
          <w:i/>
        </w:rPr>
        <w:t xml:space="preserve">Sustainability Showcase:</w:t>
      </w:r>
      <w:r>
        <w:t xml:space="preserve"> </w:t>
      </w:r>
      <w:r>
        <w:t xml:space="preserve">Highlighting Qatar’s green initiatives (e.g., Lusail City) as part of the academic mission.</w:t>
      </w:r>
    </w:p>
    <w:bookmarkEnd w:id="27"/>
    <w:bookmarkEnd w:id="28"/>
    <w:bookmarkStart w:id="29" w:name="budget-resource-allocation"/>
    <w:p>
      <w:pPr>
        <w:pStyle w:val="Heading2"/>
      </w:pPr>
      <w:r>
        <w:t xml:space="preserve">Budget &amp; Resource Allocation</w:t>
      </w:r>
    </w:p>
    <w:p>
      <w:pPr>
        <w:pStyle w:val="FirstParagraph"/>
      </w:pPr>
      <w:r>
        <w:t xml:space="preserve">Annual investment: $185,000. Breakdown includes:</w:t>
      </w:r>
    </w:p>
    <w:p>
      <w:pPr>
        <w:numPr>
          <w:ilvl w:val="0"/>
          <w:numId w:val="1008"/>
        </w:numPr>
        <w:pStyle w:val="Compact"/>
      </w:pPr>
      <w:r>
        <w:t xml:space="preserve">Digital Advertising (45%): Targeted social media, SEO/SEM for academic job portals.</w:t>
      </w:r>
    </w:p>
    <w:p>
      <w:pPr>
        <w:numPr>
          <w:ilvl w:val="0"/>
          <w:numId w:val="1008"/>
        </w:numPr>
        <w:pStyle w:val="Compact"/>
      </w:pPr>
      <w:r>
        <w:t xml:space="preserve">Content Production (30%): Video testimonials, virtual tour development.</w:t>
      </w:r>
    </w:p>
    <w:p>
      <w:pPr>
        <w:numPr>
          <w:ilvl w:val="0"/>
          <w:numId w:val="1008"/>
        </w:numPr>
        <w:pStyle w:val="Compact"/>
      </w:pPr>
      <w:r>
        <w:t xml:space="preserve">Event &amp; Partnership Costs (20%): Conference sponsorships, local open houses.</w:t>
      </w:r>
    </w:p>
    <w:p>
      <w:pPr>
        <w:numPr>
          <w:ilvl w:val="0"/>
          <w:numId w:val="1008"/>
        </w:numPr>
        <w:pStyle w:val="Compact"/>
      </w:pPr>
      <w:r>
        <w:t xml:space="preserve">Evaluation Metrics (5%): Analytics tools and KPI tracking software.</w:t>
      </w:r>
    </w:p>
    <w:bookmarkEnd w:id="29"/>
    <w:bookmarkStart w:id="30" w:name="measurement-success-metrics"/>
    <w:p>
      <w:pPr>
        <w:pStyle w:val="Heading2"/>
      </w:pPr>
      <w:r>
        <w:t xml:space="preserve">Measurement &amp; Success Metrics</w:t>
      </w:r>
    </w:p>
    <w:p>
      <w:pPr>
        <w:pStyle w:val="FirstParagraph"/>
      </w:pPr>
      <w:r>
        <w:t xml:space="preserve">All strategies will be measured through:</w:t>
      </w:r>
    </w:p>
    <w:p>
      <w:pPr>
        <w:numPr>
          <w:ilvl w:val="0"/>
          <w:numId w:val="1009"/>
        </w:numPr>
        <w:pStyle w:val="Compact"/>
      </w:pPr>
      <w:r>
        <w:rPr>
          <w:bCs/>
          <w:b/>
        </w:rPr>
        <w:t xml:space="preserve">Quantitative:</w:t>
      </w:r>
      <w:r>
        <w:t xml:space="preserve"> </w:t>
      </w:r>
      <w:r>
        <w:t xml:space="preserve">Application volume from target regions, conversion rate to interviews, retention rates, cost-per-hire.</w:t>
      </w:r>
    </w:p>
    <w:p>
      <w:pPr>
        <w:numPr>
          <w:ilvl w:val="0"/>
          <w:numId w:val="1009"/>
        </w:numPr>
        <w:pStyle w:val="Compact"/>
      </w:pPr>
      <w:r>
        <w:rPr>
          <w:bCs/>
          <w:b/>
        </w:rPr>
        <w:t xml:space="preserve">Qualitative:</w:t>
      </w:r>
      <w:r>
        <w:t xml:space="preserve"> </w:t>
      </w:r>
      <w:r>
        <w:t xml:space="preserve">Candidate surveys on brand perception ("How did Qatar Doha’s mission resonate with you?"), lecturer satisfaction scores.</w:t>
      </w:r>
    </w:p>
    <w:p>
      <w:pPr>
        <w:numPr>
          <w:ilvl w:val="0"/>
          <w:numId w:val="1009"/>
        </w:numPr>
        <w:pStyle w:val="Compact"/>
      </w:pPr>
      <w:r>
        <w:rPr>
          <w:bCs/>
          <w:b/>
        </w:rPr>
        <w:t xml:space="preserve">National Alignment:</w:t>
      </w:r>
      <w:r>
        <w:t xml:space="preserve"> </w:t>
      </w:r>
      <w:r>
        <w:t xml:space="preserve">Tracking contributions to Qatar National Vision 2030 targets (e.g., % of lecturers publishing in Q1 journals).</w:t>
      </w:r>
    </w:p>
    <w:bookmarkEnd w:id="30"/>
    <w:bookmarkStart w:id="31" w:name="X165d83ef0951b1b5deeb202c4a5c06eea6a6e85"/>
    <w:p>
      <w:pPr>
        <w:pStyle w:val="Heading2"/>
      </w:pPr>
      <w:r>
        <w:t xml:space="preserve">Conclusion: Building Qatar Doha’s Academic Future</w:t>
      </w:r>
    </w:p>
    <w:p>
      <w:pPr>
        <w:pStyle w:val="FirstParagraph"/>
      </w:pPr>
      <w:r>
        <w:t xml:space="preserve">This Marketing Plan transforms the recruitment of University Lecturers from a transactional process into a strategic partnership. By authentically marketing Qatar Doha as a catalyst for academic impact—leveraging its unique blend of cultural heritage, modern infrastructure, and national ambition—we will attract lecturers who view their career not just in Qatar, but as integral to shaping the region’s future. The success of this plan ensures that every University Lecturer recruited becomes an ambassador for Qatar Doha on the global academic stage, driving sustainable excellence in higher education aligned with national 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Strategy for Qatar Doha</dc:title>
  <dc:creator/>
  <dc:language>en</dc:language>
  <cp:keywords/>
  <dcterms:created xsi:type="dcterms:W3CDTF">2026-07-21T10:41:48Z</dcterms:created>
  <dcterms:modified xsi:type="dcterms:W3CDTF">2026-07-21T10:41:48Z</dcterms:modified>
</cp:coreProperties>
</file>

<file path=docProps/custom.xml><?xml version="1.0" encoding="utf-8"?>
<Properties xmlns="http://schemas.openxmlformats.org/officeDocument/2006/custom-properties" xmlns:vt="http://schemas.openxmlformats.org/officeDocument/2006/docPropsVTypes"/>
</file>