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8deb6b3dee1b3831deb67876b79f4af0c0824cf"/>
    <w:p>
      <w:pPr>
        <w:pStyle w:val="Heading1"/>
      </w:pPr>
      <w:r>
        <w:t xml:space="preserve">Comprehensive Marketing Plan for University Lecturer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academic talent for University Lecturer positions across leading educational institutions in Moscow, Russia. As Russia's higher education sector undergoes significant modernization under the National Project "Education," Moscow has emerged as a critical hub for academic innovation. This plan targets global and domestic candidates seeking prestigious careers as University Lecturers, addressing the urgent need for 250+ qualified faculty members across STEM, humanities, and business disciplines by 2025. Our strategy leverages Moscow's unique position as a cultural and academic nexus to position lecturer roles as career catalysts within Russia's evolving educational landscape.</w:t>
      </w:r>
    </w:p>
    <w:bookmarkEnd w:id="20"/>
    <w:bookmarkStart w:id="21" w:name="Xe92adab78182a127fd14cd1829f870a05cce25d"/>
    <w:p>
      <w:pPr>
        <w:pStyle w:val="Heading2"/>
      </w:pPr>
      <w:r>
        <w:t xml:space="preserve">Market Analysis: University Lecturer Demand in Russia Moscow</w:t>
      </w:r>
    </w:p>
    <w:p>
      <w:pPr>
        <w:pStyle w:val="FirstParagraph"/>
      </w:pPr>
      <w:r>
        <w:t xml:space="preserve">With Moscow hosting 14 of Russia's top 20 universities (including MGIMO, Lomonosov MSU, and HSE), the demand for University Lecturers has surged by 37% since 2020. Key drivers include: (1) Government initiatives like "Academic Modernization" allocating $850M for faculty development; (2) Rising international student enrollment (+41% YoY at Moscow institutions); (3) Strategic focus on global rankings requiring globally competitive academic staff. However, a critical talent gap persists—only 28% of lecturer positions are filled by candidates meeting Moscow's new accreditation standards. This presents a unique opportunity to position our institution as the premier destination for academic excellence in Russia Moscow.</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Candidates (45%):</w:t>
      </w:r>
      <w:r>
        <w:t xml:space="preserve"> </w:t>
      </w:r>
      <w:r>
        <w:t xml:space="preserve">PhD holders from EU/US universities seeking relocation opportunities, attracted by Moscow's cultural vibrancy and competitive compensation packages including housing allowances.</w:t>
      </w:r>
    </w:p>
    <w:p>
      <w:pPr>
        <w:numPr>
          <w:ilvl w:val="0"/>
          <w:numId w:val="1001"/>
        </w:numPr>
        <w:pStyle w:val="Compact"/>
      </w:pPr>
      <w:r>
        <w:rPr>
          <w:bCs/>
          <w:b/>
        </w:rPr>
        <w:t xml:space="preserve">Russian Diaspora Scholars (30%):</w:t>
      </w:r>
      <w:r>
        <w:t xml:space="preserve"> </w:t>
      </w:r>
      <w:r>
        <w:t xml:space="preserve">Academics returning from abroad (e.g., MIT, Oxford alumni) motivated by national pride and career advancement within Russia's academic renaissance.</w:t>
      </w:r>
    </w:p>
    <w:p>
      <w:pPr>
        <w:numPr>
          <w:ilvl w:val="0"/>
          <w:numId w:val="1001"/>
        </w:numPr>
        <w:pStyle w:val="Compact"/>
      </w:pPr>
      <w:r>
        <w:rPr>
          <w:bCs/>
          <w:b/>
        </w:rPr>
        <w:t xml:space="preserve">Domestic Early-Career Academics (25%):</w:t>
      </w:r>
      <w:r>
        <w:t xml:space="preserve"> </w:t>
      </w:r>
      <w:r>
        <w:t xml:space="preserve">Recent PhD graduates from Russian universities prioritizing Moscow-based roles for networking and research infrastructure access.</w:t>
      </w:r>
    </w:p>
    <w:bookmarkEnd w:id="22"/>
    <w:bookmarkStart w:id="23" w:name="marketing-objectives"/>
    <w:p>
      <w:pPr>
        <w:pStyle w:val="Heading2"/>
      </w:pPr>
      <w:r>
        <w:t xml:space="preserve">Marketing Objectives</w:t>
      </w:r>
    </w:p>
    <w:p>
      <w:pPr>
        <w:numPr>
          <w:ilvl w:val="0"/>
          <w:numId w:val="1002"/>
        </w:numPr>
        <w:pStyle w:val="Compact"/>
      </w:pPr>
      <w:r>
        <w:t xml:space="preserve">Achieve 150+ qualified applications for University Lecturer positions within 6 months</w:t>
      </w:r>
    </w:p>
    <w:p>
      <w:pPr>
        <w:numPr>
          <w:ilvl w:val="0"/>
          <w:numId w:val="1002"/>
        </w:numPr>
        <w:pStyle w:val="Compact"/>
      </w:pPr>
      <w:r>
        <w:t xml:space="preserve">Attain 85% candidate satisfaction with recruitment process (measured via post-offer surveys)</w:t>
      </w:r>
    </w:p>
    <w:bookmarkEnd w:id="23"/>
    <w:bookmarkStart w:id="27" w:name="marketing-strategies-tactics"/>
    <w:p>
      <w:pPr>
        <w:pStyle w:val="Heading2"/>
      </w:pPr>
      <w:r>
        <w:t xml:space="preserve">Marketing Strategies &amp; Tactics</w:t>
      </w:r>
    </w:p>
    <w:bookmarkStart w:id="24" w:name="digital-presence-optimization"/>
    <w:p>
      <w:pPr>
        <w:pStyle w:val="Heading3"/>
      </w:pPr>
      <w:r>
        <w:t xml:space="preserve">1. Digital Presence Optimization</w:t>
      </w:r>
    </w:p>
    <w:p>
      <w:pPr>
        <w:pStyle w:val="FirstParagraph"/>
      </w:pPr>
      <w:r>
        <w:t xml:space="preserve">Leverage Moscow's digital ecosystem through:</w:t>
      </w:r>
    </w:p>
    <w:p>
      <w:pPr>
        <w:numPr>
          <w:ilvl w:val="0"/>
          <w:numId w:val="1003"/>
        </w:numPr>
        <w:pStyle w:val="Compact"/>
      </w:pPr>
      <w:r>
        <w:rPr>
          <w:iCs/>
          <w:i/>
        </w:rPr>
        <w:t xml:space="preserve">Localized Website Hub:</w:t>
      </w:r>
      <w:r>
        <w:t xml:space="preserve"> </w:t>
      </w:r>
      <w:r>
        <w:t xml:space="preserve">Dedicated Russian/English microsite with virtual campus tours of Moscow university facilities, featuring interviews with current University Lecturers discussing career growth in Russia Moscow.</w:t>
      </w:r>
    </w:p>
    <w:p>
      <w:pPr>
        <w:numPr>
          <w:ilvl w:val="0"/>
          <w:numId w:val="1003"/>
        </w:numPr>
        <w:pStyle w:val="Compact"/>
      </w:pPr>
      <w:r>
        <w:rPr>
          <w:iCs/>
          <w:i/>
        </w:rPr>
        <w:t xml:space="preserve">Social Media Campaigns:</w:t>
      </w:r>
      <w:r>
        <w:t xml:space="preserve"> </w:t>
      </w:r>
      <w:r>
        <w:t xml:space="preserve">LinkedIn and VKontakte targeted ads highlighting "Moscow Academic Life" content (e.g., "A Week in the Life of a University Lecturer at HSE") reaching 500K+ academics globally.</w:t>
      </w:r>
    </w:p>
    <w:p>
      <w:pPr>
        <w:numPr>
          <w:ilvl w:val="0"/>
          <w:numId w:val="1003"/>
        </w:numPr>
        <w:pStyle w:val="Compact"/>
      </w:pPr>
      <w:r>
        <w:rPr>
          <w:iCs/>
          <w:i/>
        </w:rPr>
        <w:t xml:space="preserve">SEO Strategy:</w:t>
      </w:r>
      <w:r>
        <w:t xml:space="preserve"> </w:t>
      </w:r>
      <w:r>
        <w:t xml:space="preserve">Optimization for keywords like "University Lecturer jobs Russia Moscow," "academic positions Moscow," and "higher education careers in Russia."</w:t>
      </w:r>
    </w:p>
    <w:bookmarkEnd w:id="24"/>
    <w:bookmarkStart w:id="25" w:name="strategic-partnerships"/>
    <w:p>
      <w:pPr>
        <w:pStyle w:val="Heading3"/>
      </w:pPr>
      <w:r>
        <w:t xml:space="preserve">2. Strategic Partnerships</w:t>
      </w:r>
    </w:p>
    <w:p>
      <w:pPr>
        <w:pStyle w:val="FirstParagraph"/>
      </w:pPr>
      <w:r>
        <w:t xml:space="preserve">Collaborate with key institutions to amplify reach:</w:t>
      </w:r>
    </w:p>
    <w:p>
      <w:pPr>
        <w:numPr>
          <w:ilvl w:val="0"/>
          <w:numId w:val="1004"/>
        </w:numPr>
        <w:pStyle w:val="Compact"/>
      </w:pPr>
      <w:r>
        <w:rPr>
          <w:iCs/>
          <w:i/>
        </w:rPr>
        <w:t xml:space="preserve">Global Academic Networks:</w:t>
      </w:r>
      <w:r>
        <w:t xml:space="preserve"> </w:t>
      </w:r>
      <w:r>
        <w:t xml:space="preserve">Partner with IAU (International Association of Universities) for targeted job listings in 180 countries, emphasizing Moscow's status as a "Global Academic City."</w:t>
      </w:r>
    </w:p>
    <w:p>
      <w:pPr>
        <w:numPr>
          <w:ilvl w:val="0"/>
          <w:numId w:val="1004"/>
        </w:numPr>
        <w:pStyle w:val="Compact"/>
      </w:pPr>
      <w:r>
        <w:rPr>
          <w:iCs/>
          <w:i/>
        </w:rPr>
        <w:t xml:space="preserve">Russian Ministry of Education Initiatives:</w:t>
      </w:r>
      <w:r>
        <w:t xml:space="preserve"> </w:t>
      </w:r>
      <w:r>
        <w:t xml:space="preserve">Co-branded recruitment drives under the "Russia University Excellence" program, offering guaranteed visa support for successful candidates.</w:t>
      </w:r>
    </w:p>
    <w:p>
      <w:pPr>
        <w:numPr>
          <w:ilvl w:val="0"/>
          <w:numId w:val="1004"/>
        </w:numPr>
        <w:pStyle w:val="Compact"/>
      </w:pPr>
      <w:r>
        <w:rPr>
          <w:iCs/>
          <w:i/>
        </w:rPr>
        <w:t xml:space="preserve">Diaspora Organizations:</w:t>
      </w:r>
      <w:r>
        <w:t xml:space="preserve"> </w:t>
      </w:r>
      <w:r>
        <w:t xml:space="preserve">Work with Russian Student Associations worldwide (e.g., in New York, Berlin) to host virtual career fairs featuring Moscow university recruiters.</w:t>
      </w:r>
    </w:p>
    <w:bookmarkEnd w:id="25"/>
    <w:bookmarkStart w:id="26" w:name="candidate-experience-enhancement"/>
    <w:p>
      <w:pPr>
        <w:pStyle w:val="Heading3"/>
      </w:pPr>
      <w:r>
        <w:t xml:space="preserve">3. Candidate Experience Enhancement</w:t>
      </w:r>
    </w:p>
    <w:p>
      <w:pPr>
        <w:pStyle w:val="FirstParagraph"/>
      </w:pPr>
      <w:r>
        <w:t xml:space="preserve">Transform the recruitment journey into a compelling value proposition for University Lecturers:</w:t>
      </w:r>
    </w:p>
    <w:p>
      <w:pPr>
        <w:numPr>
          <w:ilvl w:val="0"/>
          <w:numId w:val="1005"/>
        </w:numPr>
        <w:pStyle w:val="Compact"/>
      </w:pPr>
      <w:r>
        <w:rPr>
          <w:iCs/>
          <w:i/>
        </w:rPr>
        <w:t xml:space="preserve">Personalized Onboarding:</w:t>
      </w:r>
      <w:r>
        <w:t xml:space="preserve"> </w:t>
      </w:r>
      <w:r>
        <w:t xml:space="preserve">"Moscow Academic Welcome Kit" including cultural immersion guides, university campus maps, and introductions to Moscow's academic communities.</w:t>
      </w:r>
    </w:p>
    <w:p>
      <w:pPr>
        <w:numPr>
          <w:ilvl w:val="0"/>
          <w:numId w:val="1005"/>
        </w:numPr>
        <w:pStyle w:val="Compact"/>
      </w:pPr>
      <w:r>
        <w:rPr>
          <w:iCs/>
          <w:i/>
        </w:rPr>
        <w:t xml:space="preserve">Career Pathway Visualization:</w:t>
      </w:r>
      <w:r>
        <w:t xml:space="preserve"> </w:t>
      </w:r>
      <w:r>
        <w:t xml:space="preserve">Interactive 3D journey showing progression from Lecturer to Professor within Russia Moscow's university system (e.g., "5 Years as a University Lecturer: From Classroom to Research Leadership").</w:t>
      </w:r>
    </w:p>
    <w:p>
      <w:pPr>
        <w:numPr>
          <w:ilvl w:val="0"/>
          <w:numId w:val="1005"/>
        </w:numPr>
        <w:pStyle w:val="Compact"/>
      </w:pPr>
      <w:r>
        <w:rPr>
          <w:iCs/>
          <w:i/>
        </w:rPr>
        <w:t xml:space="preserve">Alumni Testimonials:</w:t>
      </w:r>
      <w:r>
        <w:t xml:space="preserve"> </w:t>
      </w:r>
      <w:r>
        <w:t xml:space="preserve">Video series featuring successful University Lecturers discussing how their careers flourished in Moscow, emphasizing work-life balance and research funding opportunities.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Campaigns (SEO/Social Ads)</w:t>
      </w:r>
    </w:p>
    <w:p>
      <w:pPr>
        <w:pStyle w:val="BodyText"/>
      </w:pPr>
      <w:r>
        <w:t xml:space="preserve">$65,000</w:t>
      </w:r>
    </w:p>
    <w:p>
      <w:pPr>
        <w:pStyle w:val="BodyText"/>
      </w:pPr>
      <w:r>
        <w:t xml:space="preserve">Targeting global academic networks; highest ROI for international candidates.</w:t>
      </w:r>
    </w:p>
    <w:p>
      <w:pPr>
        <w:pStyle w:val="BodyText"/>
      </w:pPr>
      <w:r>
        <w:t xml:space="preserve">Partnership Development</w:t>
      </w:r>
    </w:p>
    <w:p>
      <w:pPr>
        <w:pStyle w:val="BodyText"/>
      </w:pPr>
      <w:r>
        <w:t xml:space="preserve">$45,000</w:t>
      </w:r>
    </w:p>
    <w:p>
      <w:pPr>
        <w:pStyle w:val="BodyText"/>
      </w:pPr>
      <w:r>
        <w:t xml:space="preserve">Funding to IAU and diaspora organizations for co-marketing.</w:t>
      </w:r>
    </w:p>
    <w:p>
      <w:pPr>
        <w:pStyle w:val="BodyText"/>
      </w:pPr>
      <w:r>
        <w:t xml:space="preserve">Content Production (Videos/Website)</w:t>
      </w:r>
    </w:p>
    <w:p>
      <w:pPr>
        <w:pStyle w:val="BodyText"/>
      </w:pPr>
      <w:r>
        <w:t xml:space="preserve">$55,000</w:t>
      </w:r>
    </w:p>
    <w:p>
      <w:pPr>
        <w:pStyle w:val="BodyText"/>
      </w:pPr>
      <w:r>
        <w:t xml:space="preserve">Professional filming in Moscow campuses; multilingual assets.</w:t>
      </w:r>
    </w:p>
    <w:p>
      <w:pPr>
        <w:pStyle w:val="BodyText"/>
      </w:pPr>
      <w:r>
        <w:t xml:space="preserve">Candidate Experience Tools</w:t>
      </w:r>
    </w:p>
    <w:p>
      <w:pPr>
        <w:pStyle w:val="BodyText"/>
      </w:pPr>
      <w:r>
        <w:t xml:space="preserve">$20,000</w:t>
      </w:r>
    </w:p>
    <w:p>
      <w:pPr>
        <w:pStyle w:val="BodyText"/>
      </w:pPr>
      <w:r>
        <w:t xml:space="preserve">Virtually enhanced onboarding materials and cultural guides.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1-2:</w:t>
      </w:r>
      <w:r>
        <w:t xml:space="preserve"> </w:t>
      </w:r>
      <w:r>
        <w:t xml:space="preserve">Digital platform launch; partnership agreements signed; content production begins.</w:t>
      </w:r>
    </w:p>
    <w:p>
      <w:pPr>
        <w:numPr>
          <w:ilvl w:val="0"/>
          <w:numId w:val="1006"/>
        </w:numPr>
        <w:pStyle w:val="Compact"/>
      </w:pPr>
      <w:r>
        <w:rPr>
          <w:bCs/>
          <w:b/>
        </w:rPr>
        <w:t xml:space="preserve">Month 3-4:</w:t>
      </w:r>
      <w:r>
        <w:t xml:space="preserve"> </w:t>
      </w:r>
      <w:r>
        <w:t xml:space="preserve">Targeted social media campaigns initiate; first virtual career fair with diaspora partners.</w:t>
      </w:r>
    </w:p>
    <w:p>
      <w:pPr>
        <w:numPr>
          <w:ilvl w:val="0"/>
          <w:numId w:val="1006"/>
        </w:numPr>
        <w:pStyle w:val="Compact"/>
      </w:pPr>
      <w:r>
        <w:rPr>
          <w:bCs/>
          <w:b/>
        </w:rPr>
        <w:t xml:space="preserve">Month 5-6:</w:t>
      </w:r>
      <w:r>
        <w:t xml:space="preserve"> </w:t>
      </w:r>
      <w:r>
        <w:t xml:space="preserve">Full-scale recruitment drive; candidate experience tools deployed; mid-campaign analysis for optimization.</w:t>
      </w:r>
    </w:p>
    <w:bookmarkEnd w:id="29"/>
    <w:bookmarkStart w:id="30" w:name="evaluation-metrics"/>
    <w:p>
      <w:pPr>
        <w:pStyle w:val="Heading2"/>
      </w:pPr>
      <w:r>
        <w:t xml:space="preserve">Evaluation Metrics</w:t>
      </w:r>
    </w:p>
    <w:p>
      <w:pPr>
        <w:pStyle w:val="FirstParagraph"/>
      </w:pPr>
      <w:r>
        <w:t xml:space="preserve">We measure success through three pillars:</w:t>
      </w:r>
    </w:p>
    <w:p>
      <w:pPr>
        <w:numPr>
          <w:ilvl w:val="0"/>
          <w:numId w:val="1007"/>
        </w:numPr>
        <w:pStyle w:val="Compact"/>
      </w:pPr>
      <w:r>
        <w:rPr>
          <w:iCs/>
          <w:i/>
        </w:rPr>
        <w:t xml:space="preserve">Recruitment Efficiency:</w:t>
      </w:r>
      <w:r>
        <w:t xml:space="preserve"> </w:t>
      </w:r>
      <w:r>
        <w:t xml:space="preserve">Applications received, time-to-fill, and candidate quality (via interview scores).</w:t>
      </w:r>
    </w:p>
    <w:p>
      <w:pPr>
        <w:numPr>
          <w:ilvl w:val="0"/>
          <w:numId w:val="1007"/>
        </w:numPr>
        <w:pStyle w:val="Compact"/>
      </w:pPr>
      <w:r>
        <w:rPr>
          <w:iCs/>
          <w:i/>
        </w:rPr>
        <w:t xml:space="preserve">Brand Perception:</w:t>
      </w:r>
      <w:r>
        <w:t xml:space="preserve"> </w:t>
      </w:r>
      <w:r>
        <w:t xml:space="preserve">Surveys measuring "Moscow as preferred academic destination" among target candidates (target: 75% positive sentiment).</w:t>
      </w:r>
    </w:p>
    <w:p>
      <w:pPr>
        <w:numPr>
          <w:ilvl w:val="0"/>
          <w:numId w:val="1007"/>
        </w:numPr>
        <w:pStyle w:val="Compact"/>
      </w:pPr>
      <w:r>
        <w:rPr>
          <w:iCs/>
          <w:i/>
        </w:rPr>
        <w:t xml:space="preserve">Economic Impact:</w:t>
      </w:r>
      <w:r>
        <w:t xml:space="preserve"> </w:t>
      </w:r>
      <w:r>
        <w:t xml:space="preserve">Retention rate of hired University Lecturers after 18 months (target: 90%+).</w:t>
      </w:r>
    </w:p>
    <w:bookmarkEnd w:id="30"/>
    <w:bookmarkStart w:id="31" w:name="X55083b1049f17dbb6af096a793d61619be8f438"/>
    <w:p>
      <w:pPr>
        <w:pStyle w:val="Heading2"/>
      </w:pPr>
      <w:r>
        <w:t xml:space="preserve">Conclusion: Positioning Moscow as the Academic Capital</w:t>
      </w:r>
    </w:p>
    <w:p>
      <w:pPr>
        <w:pStyle w:val="FirstParagraph"/>
      </w:pPr>
      <w:r>
        <w:t xml:space="preserve">This Marketing Plan strategically positions Russia Moscow as the indispensable destination for aspiring and established University Lecturers. By aligning recruitment efforts with national educational priorities and leveraging Moscow's unique cultural-academic synergy, we transform traditional job advertising into a compelling career narrative. The success of this initiative will directly contribute to Russia's goal of becoming a global academic leader while establishing our institution as the employer of choice for the next generation of University Lecturers in Moscow. In an era where education drives national competitiveness, recruiting top talent isn't merely an HR function—it's a strategic investment in Russia's intellectual future.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Russia Moscow</dc:title>
  <dc:creator/>
  <dc:language>en</dc:language>
  <cp:keywords/>
  <dcterms:created xsi:type="dcterms:W3CDTF">2026-07-23T22:17:56Z</dcterms:created>
  <dcterms:modified xsi:type="dcterms:W3CDTF">2026-07-23T22:17:56Z</dcterms:modified>
</cp:coreProperties>
</file>

<file path=docProps/custom.xml><?xml version="1.0" encoding="utf-8"?>
<Properties xmlns="http://schemas.openxmlformats.org/officeDocument/2006/custom-properties" xmlns:vt="http://schemas.openxmlformats.org/officeDocument/2006/docPropsVTypes"/>
</file>