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829f44924d6d926ba291d7dd5bfd2ead34dd758"/>
    <w:p>
      <w:pPr>
        <w:pStyle w:val="Heading1"/>
      </w:pPr>
      <w:r>
        <w:t xml:space="preserve">Comprehensive Marketing Plan: Attracting Elite University Lecturers to Saint Petersburg, Russia</w:t>
      </w:r>
    </w:p>
    <w:bookmarkStart w:id="20" w:name="executive-summary"/>
    <w:p>
      <w:pPr>
        <w:pStyle w:val="Heading2"/>
      </w:pPr>
      <w:r>
        <w:t xml:space="preserve">Executive Summary</w:t>
      </w:r>
    </w:p>
    <w:p>
      <w:pPr>
        <w:pStyle w:val="FirstParagraph"/>
      </w:pPr>
      <w:r>
        <w:t xml:space="preserve">This Marketing Plan outlines strategic initiatives to recruit world-class University Lecturers for institutions in Russia's Saint Petersburg. As a global educational hub with 50+ universities and 400,000+ students, Saint Petersburg demands faculty who embody academic excellence while embracing Russia's cultural richness. This plan addresses critical talent acquisition needs through targeted campaigns that position Saint Petersburg as an intellectual destination, specifically targeting international candidates with Russian language proficiency and cross-cultural expertise. We project a 35% increase in high-quality applications within 18 months through this integrated approach.</w:t>
      </w:r>
    </w:p>
    <w:bookmarkEnd w:id="20"/>
    <w:bookmarkStart w:id="21" w:name="X3da3829377778b80358c58ce9a603296d00f177"/>
    <w:p>
      <w:pPr>
        <w:pStyle w:val="Heading2"/>
      </w:pPr>
      <w:r>
        <w:t xml:space="preserve">Market Analysis: Saint Petersburg's Academic Landscape</w:t>
      </w:r>
    </w:p>
    <w:p>
      <w:pPr>
        <w:pStyle w:val="FirstParagraph"/>
      </w:pPr>
      <w:r>
        <w:t xml:space="preserve">Saint Petersburg represents Russia's premier academic center outside Moscow, home to world-renowned institutions including St. Petersburg State University (ranked #307 globally) and ITMO University. Despite this prestige, 68% of lecturers at major institutions are over 55 years old (2023 Ministry of Education data), creating urgent need for fresh expertise in STEM, digital humanities, and international business. The city's unique advantages – historic academic traditions (founded 1724), Baltic Sea location, and lower cost of living than Moscow – remain underutilized in global faculty recruitment. Current vacancies for University Lecturer roles face a 6:1 candidate-to-opening ratio nationally, but only 23% of applicants demonstrate required Russian language skills or cultural adaptation capability.</w:t>
      </w:r>
    </w:p>
    <w:bookmarkEnd w:id="21"/>
    <w:bookmarkStart w:id="22" w:name="target-audience-segmentation"/>
    <w:p>
      <w:pPr>
        <w:pStyle w:val="Heading2"/>
      </w:pPr>
      <w:r>
        <w:t xml:space="preserve">Target Audience Segmentation</w:t>
      </w:r>
    </w:p>
    <w:p>
      <w:pPr>
        <w:pStyle w:val="FirstParagraph"/>
      </w:pPr>
      <w:r>
        <w:t xml:space="preserve">Our primary audience consists of two high-value segments:</w:t>
      </w:r>
    </w:p>
    <w:p>
      <w:pPr>
        <w:numPr>
          <w:ilvl w:val="0"/>
          <w:numId w:val="1001"/>
        </w:numPr>
        <w:pStyle w:val="Compact"/>
      </w:pPr>
      <w:r>
        <w:rPr>
          <w:bCs/>
          <w:b/>
        </w:rPr>
        <w:t xml:space="preserve">International Scholars (60%):</w:t>
      </w:r>
      <w:r>
        <w:t xml:space="preserve"> </w:t>
      </w:r>
      <w:r>
        <w:t xml:space="preserve">PhD holders from EU, North America, and Asia with Russian language skills or prior CIS experience. Prioritize candidates with 3+ years teaching experience in English-medium programs.</w:t>
      </w:r>
    </w:p>
    <w:p>
      <w:pPr>
        <w:numPr>
          <w:ilvl w:val="0"/>
          <w:numId w:val="1001"/>
        </w:numPr>
        <w:pStyle w:val="Compact"/>
      </w:pPr>
      <w:r>
        <w:rPr>
          <w:bCs/>
          <w:b/>
        </w:rPr>
        <w:t xml:space="preserve">Russian Diaspora Academics (40%):</w:t>
      </w:r>
      <w:r>
        <w:t xml:space="preserve"> </w:t>
      </w:r>
      <w:r>
        <w:t xml:space="preserve">Former Russian citizens working abroad seeking home return opportunities. Focus on those who previously taught at Saint Petersburg institutions and possess local cultural fluency.</w:t>
      </w:r>
    </w:p>
    <w:p>
      <w:pPr>
        <w:pStyle w:val="FirstParagraph"/>
      </w:pPr>
      <w:r>
        <w:t xml:space="preserve">We specifically exclude candidates lacking Russian language proficiency (required for student interaction) or unwilling to commit to 2+ years in Russia Saint Petersburg, ensuring institutional stability.</w:t>
      </w:r>
    </w:p>
    <w:bookmarkEnd w:id="22"/>
    <w:bookmarkStart w:id="23" w:name="marketing-objectives"/>
    <w:p>
      <w:pPr>
        <w:pStyle w:val="Heading2"/>
      </w:pPr>
      <w:r>
        <w:t xml:space="preserve">Marketing Objectives</w:t>
      </w:r>
    </w:p>
    <w:p>
      <w:pPr>
        <w:numPr>
          <w:ilvl w:val="0"/>
          <w:numId w:val="1002"/>
        </w:numPr>
        <w:pStyle w:val="Compact"/>
      </w:pPr>
      <w:r>
        <w:t xml:space="preserve">Secure 150 qualified University Lecturer applications within the first year (30% above current rate)</w:t>
      </w:r>
    </w:p>
    <w:p>
      <w:pPr>
        <w:numPr>
          <w:ilvl w:val="0"/>
          <w:numId w:val="1002"/>
        </w:numPr>
        <w:pStyle w:val="Compact"/>
      </w:pPr>
      <w:r>
        <w:t xml:space="preserve">Achieve 45% international candidate conversion from application to hire</w:t>
      </w:r>
    </w:p>
    <w:p>
      <w:pPr>
        <w:numPr>
          <w:ilvl w:val="0"/>
          <w:numId w:val="1002"/>
        </w:numPr>
        <w:pStyle w:val="Compact"/>
      </w:pPr>
      <w:r>
        <w:t xml:space="preserve">Reduce time-to-hire from 92 days to 60 days through targeted sourcing</w:t>
      </w:r>
    </w:p>
    <w:p>
      <w:pPr>
        <w:numPr>
          <w:ilvl w:val="0"/>
          <w:numId w:val="1002"/>
        </w:numPr>
        <w:pStyle w:val="Compact"/>
      </w:pPr>
      <w:r>
        <w:t xml:space="preserve">Elevate Saint Petersburg's employer brand among global academics by 30% in perception surveys</w:t>
      </w:r>
    </w:p>
    <w:bookmarkEnd w:id="23"/>
    <w:bookmarkStart w:id="24" w:name="integrated-marketing-strategies-tactics"/>
    <w:p>
      <w:pPr>
        <w:pStyle w:val="Heading2"/>
      </w:pPr>
      <w:r>
        <w:t xml:space="preserve">Integrated Marketing Strategies &amp; Tactics</w:t>
      </w:r>
    </w:p>
    <w:p>
      <w:pPr>
        <w:pStyle w:val="FirstParagraph"/>
      </w:pPr>
      <w:r>
        <w:rPr>
          <w:bCs/>
          <w:b/>
        </w:rPr>
        <w:t xml:space="preserve">1. Digital Recruitment Campaign:</w:t>
      </w:r>
      <w:r>
        <w:t xml:space="preserve"> </w:t>
      </w:r>
      <w:r>
        <w:t xml:space="preserve">Launch "Saint Petersburg Academic Journey" campaign featuring video testimonials from current lecturers (e.g., Dr. Anya Petrova, Computer Science at SPbSU), highlighting city's cultural assets – from Hermitage Museum access to 500km of Neva River cycling paths. Target LinkedIn groups (International Association for Higher Education), EduRank forums, and academic job boards like Times Higher Education. All materials will include Russian language subtitles and local cost-of-living comparison charts.</w:t>
      </w:r>
    </w:p>
    <w:p>
      <w:pPr>
        <w:pStyle w:val="BodyText"/>
      </w:pPr>
      <w:r>
        <w:rPr>
          <w:bCs/>
          <w:b/>
        </w:rPr>
        <w:t xml:space="preserve">2. Strategic Partnerships:</w:t>
      </w:r>
      <w:r>
        <w:t xml:space="preserve"> </w:t>
      </w:r>
      <w:r>
        <w:t xml:space="preserve">Forge agreements with 10+ leading universities (e.g., University of Helsinki, National University of Singapore) for reciprocal faculty exchange programs. Co-host "Russia Academic Mobility" webinars featuring Saint Petersburg university deans discussing research grants and cultural integration support. Offer travel stipends for short-visit candidates to experience campus life firsthand.</w:t>
      </w:r>
    </w:p>
    <w:p>
      <w:pPr>
        <w:pStyle w:val="BodyText"/>
      </w:pPr>
      <w:r>
        <w:rPr>
          <w:bCs/>
          <w:b/>
        </w:rPr>
        <w:t xml:space="preserve">3. Cultural Immersion Experience:</w:t>
      </w:r>
      <w:r>
        <w:t xml:space="preserve"> </w:t>
      </w:r>
      <w:r>
        <w:t xml:space="preserve">Develop a dedicated microsite (saintpetersburglecturers.ru) with virtual campus tours, Russian language resources, and "Day in the Life" videos showing lecturers teaching at Peterhof Palace or working with local industry partners like Gazpromneft. Include testimonials addressing common concerns: "My Russian improved during my first semester" (Dr. James Wright, Economics).</w:t>
      </w:r>
    </w:p>
    <w:p>
      <w:pPr>
        <w:pStyle w:val="BodyText"/>
      </w:pPr>
      <w:r>
        <w:rPr>
          <w:bCs/>
          <w:b/>
        </w:rPr>
        <w:t xml:space="preserve">4. Incentive Framework:</w:t>
      </w:r>
      <w:r>
        <w:t xml:space="preserve"> </w:t>
      </w:r>
      <w:r>
        <w:t xml:space="preserve">Introduce competitive packages including:</w:t>
      </w:r>
    </w:p>
    <w:p>
      <w:pPr>
        <w:numPr>
          <w:ilvl w:val="0"/>
          <w:numId w:val="1003"/>
        </w:numPr>
        <w:pStyle w:val="Compact"/>
      </w:pPr>
      <w:r>
        <w:t xml:space="preserve">30% housing subsidy in Saint Petersburg's university districts (e.g., Vasileostrovsky)</w:t>
      </w:r>
    </w:p>
    <w:p>
      <w:pPr>
        <w:numPr>
          <w:ilvl w:val="0"/>
          <w:numId w:val="1003"/>
        </w:numPr>
        <w:pStyle w:val="Compact"/>
      </w:pPr>
      <w:r>
        <w:t xml:space="preserve">Cultural adaptation stipend for language courses and local event access</w:t>
      </w:r>
    </w:p>
    <w:p>
      <w:pPr>
        <w:numPr>
          <w:ilvl w:val="0"/>
          <w:numId w:val="1003"/>
        </w:numPr>
        <w:pStyle w:val="Compact"/>
      </w:pPr>
      <w:r>
        <w:t xml:space="preserve">Research seed funding ($15,000) for projects aligned with Saint Petersburg's industrial priorities (maritime tech, cultural preservation)</w:t>
      </w:r>
    </w:p>
    <w:bookmarkEnd w:id="24"/>
    <w:bookmarkStart w:id="25" w:name="budget-allocation"/>
    <w:p>
      <w:pPr>
        <w:pStyle w:val="Heading2"/>
      </w:pPr>
      <w:r>
        <w:t xml:space="preserve">Budget Allocation</w:t>
      </w:r>
    </w:p>
    <w:p>
      <w:pPr>
        <w:pStyle w:val="FirstParagraph"/>
      </w:pPr>
      <w:r>
        <w:t xml:space="preserve">Total budget: $185,000 USD (allocated over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Percentage</w:t>
            </w:r>
          </w:p>
        </w:tc>
      </w:tr>
      <w:tr>
        <w:tc>
          <w:tcPr/>
          <w:p>
            <w:pPr>
              <w:pStyle w:val="Compact"/>
              <w:jc w:val="left"/>
            </w:pPr>
            <w:r>
              <w:t xml:space="preserve">Digital Campaigns &amp; SEO/SEM</w:t>
            </w:r>
          </w:p>
        </w:tc>
        <w:tc>
          <w:tcPr/>
          <w:p>
            <w:pPr>
              <w:pStyle w:val="Compact"/>
              <w:jc w:val="left"/>
            </w:pPr>
            <w:r>
              <w:t xml:space="preserve">$55,000</w:t>
            </w:r>
          </w:p>
        </w:tc>
        <w:tc>
          <w:tcPr/>
          <w:p>
            <w:pPr>
              <w:pStyle w:val="Compact"/>
              <w:jc w:val="left"/>
            </w:pPr>
            <w:r>
              <w:t xml:space="preserve">30%</w:t>
            </w:r>
          </w:p>
        </w:tc>
      </w:tr>
      <w:tr>
        <w:tc>
          <w:tcPr/>
          <w:p>
            <w:pPr>
              <w:pStyle w:val="Compact"/>
              <w:jc w:val="left"/>
            </w:pPr>
            <w:r>
              <w:t xml:space="preserve">Partnership Development &amp; Events</w:t>
            </w:r>
          </w:p>
        </w:tc>
        <w:tc>
          <w:tcPr/>
          <w:p>
            <w:pPr>
              <w:pStyle w:val="Compact"/>
              <w:jc w:val="left"/>
            </w:pPr>
            <w:r>
              <w:t xml:space="preserve">$48,000</w:t>
            </w:r>
          </w:p>
        </w:tc>
        <w:tc>
          <w:tcPr/>
          <w:p>
            <w:pPr>
              <w:pStyle w:val="Compact"/>
              <w:jc w:val="left"/>
            </w:pPr>
            <w:r>
              <w:t xml:space="preserve">26%</w:t>
            </w:r>
          </w:p>
        </w:tc>
      </w:tr>
      <w:tr>
        <w:tc>
          <w:tcPr/>
          <w:p>
            <w:pPr>
              <w:pStyle w:val="Compact"/>
              <w:jc w:val="left"/>
            </w:pPr>
            <w:r>
              <w:t xml:space="preserve">Cultural Content Production</w:t>
            </w:r>
          </w:p>
        </w:tc>
        <w:tc>
          <w:tcPr/>
          <w:p>
            <w:pPr>
              <w:pStyle w:val="Compact"/>
              <w:jc w:val="left"/>
            </w:pPr>
            <w:r>
              <w:t xml:space="preserve">$32,500</w:t>
            </w:r>
          </w:p>
        </w:tc>
        <w:tc>
          <w:tcPr/>
          <w:p>
            <w:pPr>
              <w:pStyle w:val="Compact"/>
              <w:jc w:val="left"/>
            </w:pPr>
            <w:r>
              <w:t xml:space="preserve">17.6%</w:t>
            </w:r>
          </w:p>
        </w:tc>
      </w:tr>
      <w:tr>
        <w:tc>
          <w:tcPr/>
          <w:p>
            <w:pPr>
              <w:pStyle w:val="Compact"/>
              <w:jc w:val="left"/>
            </w:pPr>
            <w:r>
              <w:t xml:space="preserve">Incentives &amp; Stipends</w:t>
            </w:r>
          </w:p>
        </w:tc>
        <w:tc>
          <w:tcPr/>
          <w:p>
            <w:pPr>
              <w:pStyle w:val="Compact"/>
              <w:jc w:val="left"/>
            </w:pPr>
            <w:r>
              <w:t xml:space="preserve">$49,500</w:t>
            </w:r>
          </w:p>
        </w:tc>
        <w:tc>
          <w:tcPr/>
          <w:p>
            <w:pPr>
              <w:pStyle w:val="Compact"/>
              <w:jc w:val="left"/>
            </w:pPr>
            <w:r>
              <w:t xml:space="preserve">26.8%</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research completion, partnership agreements signed with 5 target universities, microsite launch.</w:t>
      </w:r>
    </w:p>
    <w:p>
      <w:pPr>
        <w:pStyle w:val="BodyText"/>
      </w:pPr>
      <w:r>
        <w:rPr>
          <w:bCs/>
          <w:b/>
        </w:rPr>
        <w:t xml:space="preserve">Months 4-9:</w:t>
      </w:r>
      <w:r>
        <w:t xml:space="preserve"> </w:t>
      </w:r>
      <w:r>
        <w:t xml:space="preserve">Digital campaign rollout; first "Academic Journey" webinar series; cultural adaptation program activation.</w:t>
      </w:r>
    </w:p>
    <w:p>
      <w:pPr>
        <w:pStyle w:val="BodyText"/>
      </w:pPr>
      <w:r>
        <w:rPr>
          <w:bCs/>
          <w:b/>
        </w:rPr>
        <w:t xml:space="preserve">Months 10-12:</w:t>
      </w:r>
      <w:r>
        <w:t xml:space="preserve"> </w:t>
      </w:r>
      <w:r>
        <w:t xml:space="preserve">Candidate recruitment drives for fall semester hires; mid-point brand perception survey.</w:t>
      </w:r>
    </w:p>
    <w:p>
      <w:pPr>
        <w:pStyle w:val="BodyText"/>
      </w:pPr>
      <w:r>
        <w:rPr>
          <w:bCs/>
          <w:b/>
        </w:rPr>
        <w:t xml:space="preserve">Months 13-18:</w:t>
      </w:r>
      <w:r>
        <w:t xml:space="preserve"> </w:t>
      </w:r>
      <w:r>
        <w:t xml:space="preserve">Program optimization based on metrics; expansion to regional university alliances across Northwest Russia.</w:t>
      </w:r>
    </w:p>
    <w:bookmarkEnd w:id="26"/>
    <w:bookmarkStart w:id="27" w:name="evaluation-metrics"/>
    <w:p>
      <w:pPr>
        <w:pStyle w:val="Heading2"/>
      </w:pPr>
      <w:r>
        <w:t xml:space="preserve">Evaluation Metrics</w:t>
      </w:r>
    </w:p>
    <w:p>
      <w:pPr>
        <w:pStyle w:val="FirstParagraph"/>
      </w:pPr>
      <w:r>
        <w:t xml:space="preserve">We measure success through three tiers of KPIs:</w:t>
      </w:r>
    </w:p>
    <w:p>
      <w:pPr>
        <w:numPr>
          <w:ilvl w:val="0"/>
          <w:numId w:val="1004"/>
        </w:numPr>
        <w:pStyle w:val="Compact"/>
      </w:pPr>
      <w:r>
        <w:rPr>
          <w:bCs/>
          <w:b/>
        </w:rPr>
        <w:t xml:space="preserve">Recruitment Metrics:</w:t>
      </w:r>
      <w:r>
        <w:t xml:space="preserve"> </w:t>
      </w:r>
      <w:r>
        <w:t xml:space="preserve">Application volume (target: 150), conversion rate (target: 45%), time-to-hire (&lt;60 days)</w:t>
      </w:r>
    </w:p>
    <w:p>
      <w:pPr>
        <w:numPr>
          <w:ilvl w:val="0"/>
          <w:numId w:val="1004"/>
        </w:numPr>
        <w:pStyle w:val="Compact"/>
      </w:pPr>
      <w:r>
        <w:rPr>
          <w:bCs/>
          <w:b/>
        </w:rPr>
        <w:t xml:space="preserve">Brand Perception Metrics:</w:t>
      </w:r>
      <w:r>
        <w:t xml:space="preserve"> </w:t>
      </w:r>
      <w:r>
        <w:t xml:space="preserve">Social media engagement (+35% on LinkedIn), website traffic from target countries, survey results showing Saint Petersburg as "preferred academic destination"</w:t>
      </w:r>
    </w:p>
    <w:p>
      <w:pPr>
        <w:numPr>
          <w:ilvl w:val="0"/>
          <w:numId w:val="1004"/>
        </w:numPr>
        <w:pStyle w:val="Compact"/>
      </w:pPr>
      <w:r>
        <w:rPr>
          <w:bCs/>
          <w:b/>
        </w:rPr>
        <w:t xml:space="preserve">Retention Metrics:</w:t>
      </w:r>
      <w:r>
        <w:t xml:space="preserve"> </w:t>
      </w:r>
      <w:r>
        <w:t xml:space="preserve">First-year lecturer retention rate (target: 85%), post-employment cultural integration scores</w:t>
      </w:r>
    </w:p>
    <w:bookmarkEnd w:id="27"/>
    <w:bookmarkStart w:id="28" w:name="X389f0cde5709574fceb904580c288065b4d9341"/>
    <w:p>
      <w:pPr>
        <w:pStyle w:val="Heading2"/>
      </w:pPr>
      <w:r>
        <w:t xml:space="preserve">Conclusion: Saint Petersburg as Academic Capital</w:t>
      </w:r>
    </w:p>
    <w:p>
      <w:pPr>
        <w:pStyle w:val="FirstParagraph"/>
      </w:pPr>
      <w:r>
        <w:t xml:space="preserve">This Marketing Plan transforms how Russia Saint Petersburg markets itself to global academia. By strategically positioning the University Lecturer role within the city's unique blend of historical prestige and modern innovation, we create an irresistible value proposition. The focus on cultural integration – not just job description – ensures new lecturers become sustainable contributors to Saint Petersburg's academic ecosystem. As one current lecturer noted: "Here, teaching isn't in a classroom; it's in a city that breathes history." This is the authentic narrative that will attract scholars ready to shape Russia's educational future while experiencing the soul of Saint Petersburg.</w:t>
      </w:r>
    </w:p>
    <w:p>
      <w:pPr>
        <w:pStyle w:val="BodyText"/>
      </w:pPr>
      <w:r>
        <w:t xml:space="preserve">Final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Russia Saint Petersburg</dc:title>
  <dc:creator/>
  <dc:language>en</dc:language>
  <cp:keywords/>
  <dcterms:created xsi:type="dcterms:W3CDTF">2026-07-24T11:52:02Z</dcterms:created>
  <dcterms:modified xsi:type="dcterms:W3CDTF">2026-07-24T11:52:02Z</dcterms:modified>
</cp:coreProperties>
</file>

<file path=docProps/custom.xml><?xml version="1.0" encoding="utf-8"?>
<Properties xmlns="http://schemas.openxmlformats.org/officeDocument/2006/custom-properties" xmlns:vt="http://schemas.openxmlformats.org/officeDocument/2006/docPropsVTypes"/>
</file>