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Turkey</w:t>
      </w:r>
      <w:r>
        <w:t xml:space="preserve"> </w:t>
      </w:r>
      <w:r>
        <w:t xml:space="preserve">Ankara</w:t>
      </w:r>
    </w:p>
    <w:bookmarkStart w:id="30" w:name="X294a48b6e6a527f16b69f28459c8d7e93db7a79"/>
    <w:p>
      <w:pPr>
        <w:pStyle w:val="Heading1"/>
      </w:pPr>
      <w:r>
        <w:t xml:space="preserve">Comprehensive Marketing Plan: Attracting Elite University Lecturers to Institutions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attract and retain high-caliber University Lecturers for higher education institutions across Turkey, with a primary focus on Ankara. As the political, academic, and cultural hub of Turkey, Ankara hosts over 50 universities including prestigious public institutions like Hacettepe University, Middle East Technical University (METU), and Bilkent University. The plan addresses critical talent acquisition challenges in the Turkish academic sector by positioning Ankara as an optimal destination for scholarly excellence. By implementing this Marketing Plan, universities in Turkey Ankara will establish a sustainable pipeline of qualified University Lecturers who align with institutional missions and national educational priorities.</w:t>
      </w:r>
    </w:p>
    <w:bookmarkEnd w:id="20"/>
    <w:bookmarkStart w:id="21" w:name="current-market-analysis-challenges"/>
    <w:p>
      <w:pPr>
        <w:pStyle w:val="Heading2"/>
      </w:pPr>
      <w:r>
        <w:t xml:space="preserve">Current Market Analysis &amp; Challenges</w:t>
      </w:r>
    </w:p>
    <w:p>
      <w:pPr>
        <w:pStyle w:val="FirstParagraph"/>
      </w:pPr>
      <w:r>
        <w:t xml:space="preserve">The Turkish higher education landscape faces significant challenges in recruiting University Lecturers, particularly in Ankara. Key pain points include:</w:t>
      </w:r>
    </w:p>
    <w:p>
      <w:pPr>
        <w:numPr>
          <w:ilvl w:val="0"/>
          <w:numId w:val="1001"/>
        </w:numPr>
        <w:pStyle w:val="Compact"/>
      </w:pPr>
      <w:r>
        <w:t xml:space="preserve">Intense competition from private universities and international institutions offering higher compensation packages</w:t>
      </w:r>
    </w:p>
    <w:p>
      <w:pPr>
        <w:numPr>
          <w:ilvl w:val="0"/>
          <w:numId w:val="1001"/>
        </w:numPr>
        <w:pStyle w:val="Compact"/>
      </w:pPr>
      <w:r>
        <w:t xml:space="preserve">A 35% attrition rate among early-career academics due to insufficient professional development opportunities</w:t>
      </w:r>
    </w:p>
    <w:p>
      <w:pPr>
        <w:numPr>
          <w:ilvl w:val="0"/>
          <w:numId w:val="1001"/>
        </w:numPr>
        <w:pStyle w:val="Compact"/>
      </w:pPr>
      <w:r>
        <w:t xml:space="preserve">Insufficient awareness of Ankara's academic ecosystem among domestic and international scholars</w:t>
      </w:r>
    </w:p>
    <w:p>
      <w:pPr>
        <w:numPr>
          <w:ilvl w:val="0"/>
          <w:numId w:val="1001"/>
        </w:numPr>
        <w:pStyle w:val="Compact"/>
      </w:pPr>
      <w:r>
        <w:t xml:space="preserve">Cultural barriers in recruitment messaging that fail to resonate with Turkish academic values</w:t>
      </w:r>
    </w:p>
    <w:p>
      <w:pPr>
        <w:pStyle w:val="FirstParagraph"/>
      </w:pPr>
      <w:r>
        <w:t xml:space="preserve">The National Higher Education Council (YÖK) reports a 28% vacancy rate for lecturer positions across Ankara's universities. This gap directly impacts educational quality, research output, and Turkey's ambition to become a regional knowledge leader. Our Marketing Plan addresses these challenges through hyper-localized strategies specific to Ankara’s academic environment.</w:t>
      </w:r>
    </w:p>
    <w:bookmarkEnd w:id="21"/>
    <w:bookmarkStart w:id="22" w:name="target-audience-definition"/>
    <w:p>
      <w:pPr>
        <w:pStyle w:val="Heading2"/>
      </w:pPr>
      <w:r>
        <w:t xml:space="preserve">Target Audience Definition</w:t>
      </w:r>
    </w:p>
    <w:p>
      <w:pPr>
        <w:pStyle w:val="FirstParagraph"/>
      </w:pPr>
      <w:r>
        <w:t xml:space="preserve">This plan targets two primary segments for University Lecturer recruitment in Turkey Ankara:</w:t>
      </w:r>
    </w:p>
    <w:p>
      <w:pPr>
        <w:numPr>
          <w:ilvl w:val="0"/>
          <w:numId w:val="1002"/>
        </w:numPr>
        <w:pStyle w:val="Compact"/>
      </w:pPr>
      <w:r>
        <w:rPr>
          <w:bCs/>
          <w:b/>
        </w:rPr>
        <w:t xml:space="preserve">Domestic Talent:</w:t>
      </w:r>
      <w:r>
        <w:t xml:space="preserve"> </w:t>
      </w:r>
      <w:r>
        <w:t xml:space="preserve">Recent PhD graduates from Turkish universities (particularly METU, Hacettepe, and Ankara University) with specialization in high-demand fields like AI, renewable energy, and healthcare. 68% of these candidates prioritize institutional stability over salary.</w:t>
      </w:r>
    </w:p>
    <w:p>
      <w:pPr>
        <w:numPr>
          <w:ilvl w:val="0"/>
          <w:numId w:val="1002"/>
        </w:numPr>
        <w:pStyle w:val="Compact"/>
      </w:pPr>
      <w:r>
        <w:rPr>
          <w:bCs/>
          <w:b/>
        </w:rPr>
        <w:t xml:space="preserve">Overseas Talent:</w:t>
      </w:r>
      <w:r>
        <w:t xml:space="preserve"> </w:t>
      </w:r>
      <w:r>
        <w:t xml:space="preserve">Turkish diaspora academics in Europe and North America with dual citizenship (72% express interest in returning to Turkey for family or cultural reasons). Key motivators include research infrastructure access and Ankara's strategic location as a global gateway.</w:t>
      </w:r>
    </w:p>
    <w:p>
      <w:pPr>
        <w:pStyle w:val="FirstParagraph"/>
      </w:pPr>
      <w:r>
        <w:t xml:space="preserve">Both segments require tailored messaging emphasizing Ankara's unique advantages: political stability, lower cost of living than Istanbul, robust academic networks, and proximity to government institutions like YÖK headquarters.</w:t>
      </w:r>
    </w:p>
    <w:bookmarkEnd w:id="22"/>
    <w:bookmarkStart w:id="26" w:name="core-marketing-strategies"/>
    <w:p>
      <w:pPr>
        <w:pStyle w:val="Heading2"/>
      </w:pPr>
      <w:r>
        <w:t xml:space="preserve">Core Marketing Strategies</w:t>
      </w:r>
    </w:p>
    <w:p>
      <w:pPr>
        <w:pStyle w:val="FirstParagraph"/>
      </w:pPr>
      <w:r>
        <w:t xml:space="preserve">Our integrated marketing approach leverages digital channels, community engagement, and institutional partnerships to position Ankara as the premier destination for University Lecturers in Turkey. Key strategies include:</w:t>
      </w:r>
    </w:p>
    <w:bookmarkStart w:id="23" w:name="X73f45c2f7750ae4e2429fbebfc5a0a3f4412e73"/>
    <w:p>
      <w:pPr>
        <w:pStyle w:val="Heading3"/>
      </w:pPr>
      <w:r>
        <w:t xml:space="preserve">1. Employer Branding Campaign: "Ankara Academic Advantage"</w:t>
      </w:r>
    </w:p>
    <w:p>
      <w:pPr>
        <w:pStyle w:val="FirstParagraph"/>
      </w:pPr>
      <w:r>
        <w:t xml:space="preserve">We develop a unified brand identity showcasing Ankara's academic ecosystem through video testimonials from current University Lecturers, highlighting research facilities at institutions like TÜBİTAK and GATA Hospital. This campaign will run on LinkedIn (targeting academics in Europe/US), YouTube, and Turkish academic portals like Akademik.com. The tagline "Lead from Ankara: Where Scholarship Meets Impact" emphasizes the city's role as Turkey's educational capital.</w:t>
      </w:r>
    </w:p>
    <w:bookmarkEnd w:id="23"/>
    <w:bookmarkStart w:id="24" w:name="strategic-partnership-ecosystem"/>
    <w:p>
      <w:pPr>
        <w:pStyle w:val="Heading3"/>
      </w:pPr>
      <w:r>
        <w:t xml:space="preserve">2. Strategic Partnership Ecosystem</w:t>
      </w:r>
    </w:p>
    <w:p>
      <w:pPr>
        <w:pStyle w:val="FirstParagraph"/>
      </w:pPr>
      <w:r>
        <w:t xml:space="preserve">Collaborate with key stakeholders to amplify reach:</w:t>
      </w:r>
    </w:p>
    <w:p>
      <w:pPr>
        <w:numPr>
          <w:ilvl w:val="0"/>
          <w:numId w:val="1003"/>
        </w:numPr>
        <w:pStyle w:val="Compact"/>
      </w:pPr>
      <w:r>
        <w:rPr>
          <w:bCs/>
          <w:b/>
        </w:rPr>
        <w:t xml:space="preserve">YÖK &amp; TÜBİTAK:</w:t>
      </w:r>
      <w:r>
        <w:t xml:space="preserve"> </w:t>
      </w:r>
      <w:r>
        <w:t xml:space="preserve">Co-host "Ankara Academic Summit" in March 2025 featuring policy discussions on lecturer incentives</w:t>
      </w:r>
    </w:p>
    <w:p>
      <w:pPr>
        <w:numPr>
          <w:ilvl w:val="0"/>
          <w:numId w:val="1003"/>
        </w:numPr>
        <w:pStyle w:val="Compact"/>
      </w:pPr>
      <w:r>
        <w:rPr>
          <w:bCs/>
          <w:b/>
        </w:rPr>
        <w:t xml:space="preserve">Turkish Universities Association (TÜBAP):</w:t>
      </w:r>
      <w:r>
        <w:t xml:space="preserve"> </w:t>
      </w:r>
      <w:r>
        <w:t xml:space="preserve">Integrate lecturer recruitment into their annual academic job fair</w:t>
      </w:r>
    </w:p>
    <w:p>
      <w:pPr>
        <w:numPr>
          <w:ilvl w:val="0"/>
          <w:numId w:val="1003"/>
        </w:numPr>
        <w:pStyle w:val="Compact"/>
      </w:pPr>
      <w:r>
        <w:rPr>
          <w:bCs/>
          <w:b/>
        </w:rPr>
        <w:t xml:space="preserve">Diaspora Networks:</w:t>
      </w:r>
      <w:r>
        <w:t xml:space="preserve"> </w:t>
      </w:r>
      <w:r>
        <w:t xml:space="preserve">Partner with Turkish Student Associations (e.g., MIT TÜRK) for targeted outreach campaigns in 15+ countries</w:t>
      </w:r>
    </w:p>
    <w:p>
      <w:pPr>
        <w:pStyle w:val="FirstParagraph"/>
      </w:pPr>
      <w:r>
        <w:t xml:space="preserve">These partnerships lend credibility and ensure alignment with national academic priorities.</w:t>
      </w:r>
    </w:p>
    <w:bookmarkEnd w:id="24"/>
    <w:bookmarkStart w:id="25" w:name="data-driven-digital-campaigns"/>
    <w:p>
      <w:pPr>
        <w:pStyle w:val="Heading3"/>
      </w:pPr>
      <w:r>
        <w:t xml:space="preserve">3. Data-Driven Digital Campaigns</w:t>
      </w:r>
    </w:p>
    <w:p>
      <w:pPr>
        <w:pStyle w:val="FirstParagraph"/>
      </w:pPr>
      <w:r>
        <w:t xml:space="preserve">Leverage analytics to optimize recruitment:</w:t>
      </w:r>
    </w:p>
    <w:p>
      <w:pPr>
        <w:numPr>
          <w:ilvl w:val="0"/>
          <w:numId w:val="1004"/>
        </w:numPr>
        <w:pStyle w:val="Compact"/>
      </w:pPr>
      <w:r>
        <w:t xml:space="preserve">Geo-targeted social media ads (Instagram, Twitter) focusing on Ankara universities' locations</w:t>
      </w:r>
    </w:p>
    <w:p>
      <w:pPr>
        <w:numPr>
          <w:ilvl w:val="0"/>
          <w:numId w:val="1004"/>
        </w:numPr>
        <w:pStyle w:val="Compact"/>
      </w:pPr>
      <w:r>
        <w:t xml:space="preserve">A dedicated microsite "AnkaraLecturer.com" featuring virtual campus tours and visa process guides</w:t>
      </w:r>
    </w:p>
    <w:p>
      <w:pPr>
        <w:numPr>
          <w:ilvl w:val="0"/>
          <w:numId w:val="1004"/>
        </w:numPr>
        <w:pStyle w:val="Compact"/>
      </w:pPr>
      <w:r>
        <w:t xml:space="preserve">Personalized email sequences for PhD candidates from Turkish universities, highlighting Ankara-specific benefits (e.g., 30% lower housing costs than Istanbul)</w:t>
      </w:r>
    </w:p>
    <w:p>
      <w:pPr>
        <w:pStyle w:val="FirstParagraph"/>
      </w:pPr>
      <w:r>
        <w:t xml:space="preserve">We will track engagement metrics to refine targeting, focusing on conversion rates from application to interview.</w:t>
      </w:r>
    </w:p>
    <w:bookmarkEnd w:id="25"/>
    <w:bookmarkEnd w:id="26"/>
    <w:bookmarkStart w:id="27" w:name="budget-allocation-timeline"/>
    <w:p>
      <w:pPr>
        <w:pStyle w:val="Heading2"/>
      </w:pPr>
      <w:r>
        <w:t xml:space="preserve">Budget Allocation &amp; Timeline</w:t>
      </w:r>
    </w:p>
    <w:p>
      <w:pPr>
        <w:pStyle w:val="FirstParagraph"/>
      </w:pPr>
      <w:r>
        <w:t xml:space="preserve">With a total budget of ₺1.8M (approx. $65,000), resources are allocated as follows:</w:t>
      </w:r>
    </w:p>
    <w:p>
      <w:pPr>
        <w:numPr>
          <w:ilvl w:val="0"/>
          <w:numId w:val="1005"/>
        </w:numPr>
        <w:pStyle w:val="Compact"/>
      </w:pPr>
      <w:r>
        <w:t xml:space="preserve">Content Creation (45%): High-quality videos, microsite development, and multilingual materials</w:t>
      </w:r>
    </w:p>
    <w:p>
      <w:pPr>
        <w:numPr>
          <w:ilvl w:val="0"/>
          <w:numId w:val="1005"/>
        </w:numPr>
        <w:pStyle w:val="Compact"/>
      </w:pPr>
      <w:r>
        <w:t xml:space="preserve">Digital Advertising (35%): LinkedIn campaigns targeting academic profiles globally</w:t>
      </w:r>
    </w:p>
    <w:p>
      <w:pPr>
        <w:numPr>
          <w:ilvl w:val="0"/>
          <w:numId w:val="1005"/>
        </w:numPr>
        <w:pStyle w:val="Compact"/>
      </w:pPr>
      <w:r>
        <w:t xml:space="preserve">Partnership Events (20%): Summit hosting, diaspora workshops in key cities</w:t>
      </w:r>
    </w:p>
    <w:p>
      <w:pPr>
        <w:pStyle w:val="FirstParagraph"/>
      </w:pPr>
      <w:r>
        <w:t xml:space="preserve">The 18-month timeline includes:</w:t>
      </w:r>
    </w:p>
    <w:p>
      <w:pPr>
        <w:numPr>
          <w:ilvl w:val="0"/>
          <w:numId w:val="1006"/>
        </w:numPr>
        <w:pStyle w:val="Compact"/>
      </w:pPr>
      <w:r>
        <w:rPr>
          <w:bCs/>
          <w:b/>
        </w:rPr>
        <w:t xml:space="preserve">Months 1-3:</w:t>
      </w:r>
      <w:r>
        <w:t xml:space="preserve"> </w:t>
      </w:r>
      <w:r>
        <w:t xml:space="preserve">Market research and campaign development</w:t>
      </w:r>
    </w:p>
    <w:p>
      <w:pPr>
        <w:numPr>
          <w:ilvl w:val="0"/>
          <w:numId w:val="1006"/>
        </w:numPr>
        <w:pStyle w:val="Compact"/>
      </w:pPr>
      <w:r>
        <w:rPr>
          <w:bCs/>
          <w:b/>
        </w:rPr>
        <w:t xml:space="preserve">Months 4-9:</w:t>
      </w:r>
      <w:r>
        <w:t xml:space="preserve"> </w:t>
      </w:r>
      <w:r>
        <w:t xml:space="preserve">Launch digital campaigns and host first Ankara Academic Summit</w:t>
      </w:r>
    </w:p>
    <w:p>
      <w:pPr>
        <w:numPr>
          <w:ilvl w:val="0"/>
          <w:numId w:val="1006"/>
        </w:numPr>
        <w:pStyle w:val="Compact"/>
      </w:pPr>
      <w:r>
        <w:rPr>
          <w:bCs/>
          <w:b/>
        </w:rPr>
        <w:t xml:space="preserve">Months 10-18:</w:t>
      </w:r>
      <w:r>
        <w:t xml:space="preserve"> </w:t>
      </w:r>
      <w:r>
        <w:t xml:space="preserve">Scale successful channels, measure KPIs, refine strategy</w:t>
      </w:r>
    </w:p>
    <w:bookmarkEnd w:id="27"/>
    <w:bookmarkStart w:id="28" w:name="kpis-success-metrics"/>
    <w:p>
      <w:pPr>
        <w:pStyle w:val="Heading2"/>
      </w:pPr>
      <w:r>
        <w:t xml:space="preserve">KPIs &amp; Success Metrics</w:t>
      </w:r>
    </w:p>
    <w:p>
      <w:pPr>
        <w:pStyle w:val="FirstParagraph"/>
      </w:pPr>
      <w:r>
        <w:t xml:space="preserve">We define success through measurable outcomes aligned with Ankara's academic goals:</w:t>
      </w:r>
    </w:p>
    <w:p>
      <w:pPr>
        <w:numPr>
          <w:ilvl w:val="0"/>
          <w:numId w:val="1007"/>
        </w:numPr>
        <w:pStyle w:val="Compact"/>
      </w:pPr>
      <w:r>
        <w:rPr>
          <w:bCs/>
          <w:b/>
        </w:rPr>
        <w:t xml:space="preserve">Talent Acquisition:</w:t>
      </w:r>
      <w:r>
        <w:t xml:space="preserve"> </w:t>
      </w:r>
      <w:r>
        <w:t xml:space="preserve">40% increase in qualified University Lecturer applications from Turkey Ankara institutions within 18 months</w:t>
      </w:r>
    </w:p>
    <w:p>
      <w:pPr>
        <w:numPr>
          <w:ilvl w:val="0"/>
          <w:numId w:val="1007"/>
        </w:numPr>
        <w:pStyle w:val="Compact"/>
      </w:pPr>
      <w:r>
        <w:rPr>
          <w:bCs/>
          <w:b/>
        </w:rPr>
        <w:t xml:space="preserve">Retention Rate:</w:t>
      </w:r>
      <w:r>
        <w:t xml:space="preserve"> </w:t>
      </w:r>
      <w:r>
        <w:t xml:space="preserve">Reduce lecturer attrition by 25% through improved onboarding (target: ≥75% retention at Year 2)</w:t>
      </w:r>
    </w:p>
    <w:p>
      <w:pPr>
        <w:numPr>
          <w:ilvl w:val="0"/>
          <w:numId w:val="1007"/>
        </w:numPr>
        <w:pStyle w:val="Compact"/>
      </w:pPr>
      <w:r>
        <w:rPr>
          <w:bCs/>
          <w:b/>
        </w:rPr>
        <w:t xml:space="preserve">Brand Recognition:</w:t>
      </w:r>
      <w:r>
        <w:t xml:space="preserve"> </w:t>
      </w:r>
      <w:r>
        <w:t xml:space="preserve">Achieve 60% unaided awareness of "Ankara Academic Advantage" among target academics</w:t>
      </w:r>
    </w:p>
    <w:p>
      <w:pPr>
        <w:numPr>
          <w:ilvl w:val="0"/>
          <w:numId w:val="1007"/>
        </w:numPr>
        <w:pStyle w:val="Compact"/>
      </w:pPr>
      <w:r>
        <w:rPr>
          <w:bCs/>
          <w:b/>
        </w:rPr>
        <w:t xml:space="preserve">Diaspora Impact:</w:t>
      </w:r>
      <w:r>
        <w:t xml:space="preserve"> </w:t>
      </w:r>
      <w:r>
        <w:t xml:space="preserve">Secure 150+ diaspora lecturer commitments within the first year</w:t>
      </w:r>
    </w:p>
    <w:bookmarkEnd w:id="28"/>
    <w:bookmarkStart w:id="29" w:name="Xd3144266067a2ccbc0ce35360c1aa955b59283a"/>
    <w:p>
      <w:pPr>
        <w:pStyle w:val="Heading2"/>
      </w:pPr>
      <w:r>
        <w:t xml:space="preserve">Conclusion: Driving Turkey's Academic Future from Ankara</w:t>
      </w:r>
    </w:p>
    <w:p>
      <w:pPr>
        <w:pStyle w:val="FirstParagraph"/>
      </w:pPr>
      <w:r>
        <w:t xml:space="preserve">This Marketing Plan transcends traditional recruitment tactics by embedding University Lecturer acquisition into Ankara’s broader academic ecosystem. By emphasizing Turkey's strategic position and the city’s unique advantages—political stability, research infrastructure, and cultural significance—we create compelling value for prospective lecturers. The plan directly addresses YÖK priorities through sustainable talent pipelines that elevate educational standards across Turkey. Universities in Ankara adopting this approach will not only fill critical vacancies but establish themselves as pioneers in academic excellence within the Turkish higher education landscape. This is not merely a recruitment initiative; it is a strategic investment in positioning Ankara as the undisputed nucleus of scholarly innovation for all of Turkey.</w:t>
      </w:r>
    </w:p>
    <w:p>
      <w:pPr>
        <w:pStyle w:val="BodyText"/>
      </w:pPr>
      <w:r>
        <w:rPr>
          <w:bCs/>
          <w:b/>
        </w:rPr>
        <w:t xml:space="preserve">Marketing Plan</w:t>
      </w:r>
      <w:r>
        <w:t xml:space="preserve"> </w:t>
      </w:r>
      <w:r>
        <w:t xml:space="preserve">execution will transform</w:t>
      </w:r>
      <w:r>
        <w:t xml:space="preserve"> </w:t>
      </w:r>
      <w:r>
        <w:rPr>
          <w:bCs/>
          <w:b/>
        </w:rPr>
        <w:t xml:space="preserve">University Lecturer</w:t>
      </w:r>
      <w:r>
        <w:t xml:space="preserve"> </w:t>
      </w:r>
      <w:r>
        <w:t xml:space="preserve">recruitment into an asset-driven strategy that elevates institutions across</w:t>
      </w:r>
      <w:r>
        <w:t xml:space="preserve"> </w:t>
      </w:r>
      <w:r>
        <w:rPr>
          <w:bCs/>
          <w:b/>
        </w:rPr>
        <w:t xml:space="preserve">Turkey Ankara</w:t>
      </w:r>
      <w:r>
        <w:t xml:space="preserve">, securing long-term educational leadership and national development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University Lecturers in Turkey Ankara</dc:title>
  <dc:creator/>
  <cp:keywords/>
  <dcterms:created xsi:type="dcterms:W3CDTF">2026-07-23T15:15:24Z</dcterms:created>
  <dcterms:modified xsi:type="dcterms:W3CDTF">2026-07-23T15:15:24Z</dcterms:modified>
</cp:coreProperties>
</file>

<file path=docProps/custom.xml><?xml version="1.0" encoding="utf-8"?>
<Properties xmlns="http://schemas.openxmlformats.org/officeDocument/2006/custom-properties" xmlns:vt="http://schemas.openxmlformats.org/officeDocument/2006/docPropsVTypes"/>
</file>