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Excellence</w:t>
      </w:r>
      <w:r>
        <w:t xml:space="preserve"> </w:t>
      </w:r>
      <w:r>
        <w:t xml:space="preserve">in</w:t>
      </w:r>
      <w:r>
        <w:t xml:space="preserve"> </w:t>
      </w:r>
      <w:r>
        <w:t xml:space="preserve">University</w:t>
      </w:r>
      <w:r>
        <w:t xml:space="preserve"> </w:t>
      </w:r>
      <w:r>
        <w:t xml:space="preserve">Lecturers</w:t>
      </w:r>
      <w:r>
        <w:t xml:space="preserve"> </w:t>
      </w:r>
      <w:r>
        <w:t xml:space="preserve">Across</w:t>
      </w:r>
      <w:r>
        <w:t xml:space="preserve"> </w:t>
      </w:r>
      <w:r>
        <w:t xml:space="preserve">Turkey</w:t>
      </w:r>
      <w:r>
        <w:t xml:space="preserve"> </w:t>
      </w:r>
      <w:r>
        <w:t xml:space="preserve">Istanbul</w:t>
      </w:r>
    </w:p>
    <w:bookmarkStart w:id="32" w:name="Xcab20205ae5e9aff610bf93570e7b9d6cd33b9b"/>
    <w:p>
      <w:pPr>
        <w:pStyle w:val="Heading1"/>
      </w:pPr>
      <w:r>
        <w:t xml:space="preserve">Strategic Marketing Plan for University Lecturer Recruitment and Retention in Istanbul, Turkey</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University Lecturers within Istanbul's dynamic higher education ecosystem. As Turkey's premier academic hub, Istanbul hosts over 60% of the nation's universities and 15+ international campuses. This Marketing Plan addresses the critical talent gap in academia by positioning leading institutions as destinations for visionary educators. We leverage Istanbul’s unique cultural, economic, and educational advantages to craft a compelling value proposition for University Lecturers seeking impactful careers within Turkey's evolving academic landscape.</w:t>
      </w:r>
    </w:p>
    <w:bookmarkEnd w:id="20"/>
    <w:bookmarkStart w:id="21" w:name="X5d39f68ebfe0d4c863955d390caf588cb97ae3d"/>
    <w:p>
      <w:pPr>
        <w:pStyle w:val="Heading2"/>
      </w:pPr>
      <w:r>
        <w:t xml:space="preserve">Situation Analysis: The Istanbul Academic Landscape</w:t>
      </w:r>
    </w:p>
    <w:p>
      <w:pPr>
        <w:pStyle w:val="FirstParagraph"/>
      </w:pPr>
      <w:r>
        <w:t xml:space="preserve">Istanbul stands at the crossroads of Europe and Asia, offering unparalleled access to global networks while anchoring Turkey’s educational ambition. However, Turkish universities face intense competition for University Lecturers due to rising demand for quality education, increased research expectations, and globalization pressures. Recent YÖK (Higher Education Council) reforms emphasize internationalization and innovation—creating both challenges and opportunities. Current attrition rates among early-career lecturers in Istanbul exceed 22%, driven by inadequate professional development support and competitive salary structures compared to private sector roles. This Marketing Plan directly addresses these pain points through a hyper-localized approach.</w:t>
      </w:r>
    </w:p>
    <w:bookmarkEnd w:id="21"/>
    <w:bookmarkStart w:id="22" w:name="Xbd7c5bdd9c3f5b9548f462c6418c82c8ff05996"/>
    <w:p>
      <w:pPr>
        <w:pStyle w:val="Heading2"/>
      </w:pPr>
      <w:r>
        <w:t xml:space="preserve">Target Audience: The Modern University Lecturer in Turkey Istanbul</w:t>
      </w:r>
    </w:p>
    <w:p>
      <w:pPr>
        <w:pStyle w:val="FirstParagraph"/>
      </w:pPr>
      <w:r>
        <w:t xml:space="preserve">Our primary persona is the "Innovative Academic" aged 30–45, holding a PhD from reputable institutions (Turkish or international), seeking to balance research excellence with meaningful teaching impact. This University Lecturer prioritizes:</w:t>
      </w:r>
    </w:p>
    <w:p>
      <w:pPr>
        <w:numPr>
          <w:ilvl w:val="0"/>
          <w:numId w:val="1001"/>
        </w:numPr>
        <w:pStyle w:val="Compact"/>
      </w:pPr>
      <w:r>
        <w:t xml:space="preserve">Access to cutting-edge research funding aligned with Turkey’s strategic priorities (e.g., AI, sustainable energy)</w:t>
      </w:r>
    </w:p>
    <w:p>
      <w:pPr>
        <w:numPr>
          <w:ilvl w:val="0"/>
          <w:numId w:val="1001"/>
        </w:numPr>
        <w:pStyle w:val="Compact"/>
      </w:pPr>
      <w:r>
        <w:t xml:space="preserve">A supportive academic community within Istanbul's multicultural environment</w:t>
      </w:r>
    </w:p>
    <w:p>
      <w:pPr>
        <w:numPr>
          <w:ilvl w:val="0"/>
          <w:numId w:val="1001"/>
        </w:numPr>
        <w:pStyle w:val="Compact"/>
      </w:pPr>
      <w:r>
        <w:t xml:space="preserve">Clear pathways for promotion under Turkey's evolving tenure system</w:t>
      </w:r>
    </w:p>
    <w:p>
      <w:pPr>
        <w:numPr>
          <w:ilvl w:val="0"/>
          <w:numId w:val="1001"/>
        </w:numPr>
        <w:pStyle w:val="Compact"/>
      </w:pPr>
      <w:r>
        <w:t xml:space="preserve">Work-life integration in a city offering cultural vibrancy and global connectivity</w:t>
      </w:r>
    </w:p>
    <w:bookmarkEnd w:id="22"/>
    <w:bookmarkStart w:id="23" w:name="X89efb59dd41a47241f61861bc14a5aba1c81093"/>
    <w:p>
      <w:pPr>
        <w:pStyle w:val="Heading2"/>
      </w:pPr>
      <w:r>
        <w:t xml:space="preserve">Marketing Plan Objectives (SMART Framework)</w:t>
      </w:r>
    </w:p>
    <w:p>
      <w:pPr>
        <w:pStyle w:val="FirstParagraph"/>
      </w:pPr>
      <w:r>
        <w:t xml:space="preserve">Within 18 months, achieve:</w:t>
      </w:r>
    </w:p>
    <w:p>
      <w:pPr>
        <w:numPr>
          <w:ilvl w:val="0"/>
          <w:numId w:val="1002"/>
        </w:numPr>
        <w:pStyle w:val="Compact"/>
      </w:pPr>
      <w:r>
        <w:rPr>
          <w:bCs/>
          <w:b/>
        </w:rPr>
        <w:t xml:space="preserve">Quantitative:</w:t>
      </w:r>
      <w:r>
        <w:t xml:space="preserve"> </w:t>
      </w:r>
      <w:r>
        <w:t xml:space="preserve">Increase University Lecturer applications from top-tier Turkish/international PhD programs by 45% in Istanbul-based institutions.</w:t>
      </w:r>
    </w:p>
    <w:p>
      <w:pPr>
        <w:numPr>
          <w:ilvl w:val="0"/>
          <w:numId w:val="1002"/>
        </w:numPr>
        <w:pStyle w:val="Compact"/>
      </w:pPr>
      <w:r>
        <w:rPr>
          <w:bCs/>
          <w:b/>
        </w:rPr>
        <w:t xml:space="preserve">Qualitative:</w:t>
      </w:r>
      <w:r>
        <w:t xml:space="preserve"> </w:t>
      </w:r>
      <w:r>
        <w:t xml:space="preserve">Attain a lecturer retention rate of 85%+ through tailored career development, positioning Istanbul as the preferred academic destination in Turkey.</w:t>
      </w:r>
    </w:p>
    <w:p>
      <w:pPr>
        <w:numPr>
          <w:ilvl w:val="0"/>
          <w:numId w:val="1002"/>
        </w:numPr>
        <w:pStyle w:val="Compact"/>
      </w:pPr>
      <w:r>
        <w:rPr>
          <w:bCs/>
          <w:b/>
        </w:rPr>
        <w:t xml:space="preserve">Brand Positioning:</w:t>
      </w:r>
      <w:r>
        <w:t xml:space="preserve"> </w:t>
      </w:r>
      <w:r>
        <w:t xml:space="preserve">Establish "Istanbul Academic Excellence" as synonymous with innovation, support, and professional growth for University Lecturers across Turkey.</w:t>
      </w:r>
    </w:p>
    <w:bookmarkEnd w:id="23"/>
    <w:bookmarkStart w:id="28" w:name="X99dea051ea298889cc39b2ca394237fad601608"/>
    <w:p>
      <w:pPr>
        <w:pStyle w:val="Heading2"/>
      </w:pPr>
      <w:r>
        <w:t xml:space="preserve">Core Marketing Strategies: The 4 Ps Adapted for Istanbul Academia</w:t>
      </w:r>
    </w:p>
    <w:bookmarkStart w:id="24" w:name="product-the-istanbul-academic-experience"/>
    <w:p>
      <w:pPr>
        <w:pStyle w:val="Heading3"/>
      </w:pPr>
      <w:r>
        <w:t xml:space="preserve">Product: The Istanbul Academic Experience</w:t>
      </w:r>
    </w:p>
    <w:p>
      <w:pPr>
        <w:pStyle w:val="FirstParagraph"/>
      </w:pPr>
      <w:r>
        <w:t xml:space="preserve">We reframe the University Lecturer role as a transformative career journey, not merely a job. Key differentiators include:</w:t>
      </w:r>
    </w:p>
    <w:p>
      <w:pPr>
        <w:numPr>
          <w:ilvl w:val="0"/>
          <w:numId w:val="1003"/>
        </w:numPr>
        <w:pStyle w:val="Compact"/>
      </w:pPr>
      <w:r>
        <w:rPr>
          <w:bCs/>
          <w:b/>
        </w:rPr>
        <w:t xml:space="preserve">Research Ecosystems:</w:t>
      </w:r>
      <w:r>
        <w:t xml:space="preserve"> </w:t>
      </w:r>
      <w:r>
        <w:t xml:space="preserve">Partnerships with Istanbul-based tech hubs (e.g., TÜBİTAK, Istanbul Tech Valley) for joint projects and funding access.</w:t>
      </w:r>
    </w:p>
    <w:p>
      <w:pPr>
        <w:numPr>
          <w:ilvl w:val="0"/>
          <w:numId w:val="1003"/>
        </w:numPr>
        <w:pStyle w:val="Compact"/>
      </w:pPr>
      <w:r>
        <w:rPr>
          <w:bCs/>
          <w:b/>
        </w:rPr>
        <w:t xml:space="preserve">Career Acceleration:</w:t>
      </w:r>
      <w:r>
        <w:t xml:space="preserve"> </w:t>
      </w:r>
      <w:r>
        <w:t xml:space="preserve">"Istanbul Academic Pathways" program offering mentorship from established faculty, visa support for international lecturers, and annual innovation grants.</w:t>
      </w:r>
    </w:p>
    <w:p>
      <w:pPr>
        <w:numPr>
          <w:ilvl w:val="0"/>
          <w:numId w:val="1003"/>
        </w:numPr>
        <w:pStyle w:val="Compact"/>
      </w:pPr>
      <w:r>
        <w:rPr>
          <w:bCs/>
          <w:b/>
        </w:rPr>
        <w:t xml:space="preserve">Lifestyle Integration:</w:t>
      </w:r>
      <w:r>
        <w:t xml:space="preserve"> </w:t>
      </w:r>
      <w:r>
        <w:t xml:space="preserve">Curated city experience packages (cultural tours, housing assistance) highlighting Istanbul’s unique blend of historic depth and cosmopolitan energy.</w:t>
      </w:r>
    </w:p>
    <w:bookmarkEnd w:id="24"/>
    <w:bookmarkStart w:id="25" w:name="Xc191ef17c67efcecb5b6610f593607ae4749863"/>
    <w:p>
      <w:pPr>
        <w:pStyle w:val="Heading3"/>
      </w:pPr>
      <w:r>
        <w:t xml:space="preserve">Price: Value-Based Compensation &amp; Incentives</w:t>
      </w:r>
    </w:p>
    <w:p>
      <w:pPr>
        <w:pStyle w:val="FirstParagraph"/>
      </w:pPr>
      <w:r>
        <w:t xml:space="preserve">Moving beyond base salary, we offer a holistic compensation package aligned with University Lecturer priorities:</w:t>
      </w:r>
    </w:p>
    <w:p>
      <w:pPr>
        <w:numPr>
          <w:ilvl w:val="0"/>
          <w:numId w:val="1004"/>
        </w:numPr>
        <w:pStyle w:val="Compact"/>
      </w:pPr>
      <w:r>
        <w:t xml:space="preserve">Competitive starting packages (benchmarking against OECD averages for mid-career academics)</w:t>
      </w:r>
    </w:p>
    <w:p>
      <w:pPr>
        <w:numPr>
          <w:ilvl w:val="0"/>
          <w:numId w:val="1004"/>
        </w:numPr>
        <w:pStyle w:val="Compact"/>
      </w:pPr>
      <w:r>
        <w:t xml:space="preserve">Performance-linked research funding (minimum €25,000/year for new lecturers in priority fields)</w:t>
      </w:r>
    </w:p>
    <w:p>
      <w:pPr>
        <w:numPr>
          <w:ilvl w:val="0"/>
          <w:numId w:val="1004"/>
        </w:numPr>
        <w:pStyle w:val="Compact"/>
      </w:pPr>
      <w:r>
        <w:t xml:space="preserve">Tax incentives under Turkey’s "Academic Mobility Program" for international candidates</w:t>
      </w:r>
    </w:p>
    <w:p>
      <w:pPr>
        <w:numPr>
          <w:ilvl w:val="0"/>
          <w:numId w:val="1004"/>
        </w:numPr>
        <w:pStyle w:val="Compact"/>
      </w:pPr>
      <w:r>
        <w:t xml:space="preserve">Family support: Educational subsidies for children at Istanbul’s international schools (e.g., Robert College, International School of Istanbul)</w:t>
      </w:r>
    </w:p>
    <w:bookmarkEnd w:id="25"/>
    <w:bookmarkStart w:id="26" w:name="place-hyper-localized-talent-acquisition"/>
    <w:p>
      <w:pPr>
        <w:pStyle w:val="Heading3"/>
      </w:pPr>
      <w:r>
        <w:t xml:space="preserve">Place: Hyper-Localized Talent Acquisition</w:t>
      </w:r>
    </w:p>
    <w:p>
      <w:pPr>
        <w:pStyle w:val="FirstParagraph"/>
      </w:pPr>
      <w:r>
        <w:t xml:space="preserve">Recruitment channels are meticulously tailored to Istanbul's academic networks:</w:t>
      </w:r>
    </w:p>
    <w:p>
      <w:pPr>
        <w:numPr>
          <w:ilvl w:val="0"/>
          <w:numId w:val="1005"/>
        </w:numPr>
        <w:pStyle w:val="Compact"/>
      </w:pPr>
      <w:r>
        <w:t xml:space="preserve">Targeted partnerships with leading Turkish universities (Boğaziçi, Koç, Sabancı) for referral programs</w:t>
      </w:r>
    </w:p>
    <w:p>
      <w:pPr>
        <w:numPr>
          <w:ilvl w:val="0"/>
          <w:numId w:val="1005"/>
        </w:numPr>
        <w:pStyle w:val="Compact"/>
      </w:pPr>
      <w:r>
        <w:t xml:space="preserve">Presence at major conferences in Turkey (e.g., TÜBİTAK Congress, Ankara International Education Summit)</w:t>
      </w:r>
    </w:p>
    <w:p>
      <w:pPr>
        <w:numPr>
          <w:ilvl w:val="0"/>
          <w:numId w:val="1005"/>
        </w:numPr>
        <w:pStyle w:val="Compact"/>
      </w:pPr>
      <w:r>
        <w:t xml:space="preserve">Dedicated "Istanbul Academic Portal" on university websites with real-time job updates and virtual campus tours</w:t>
      </w:r>
    </w:p>
    <w:p>
      <w:pPr>
        <w:numPr>
          <w:ilvl w:val="0"/>
          <w:numId w:val="1005"/>
        </w:numPr>
        <w:pStyle w:val="Compact"/>
      </w:pPr>
      <w:r>
        <w:t xml:space="preserve">Collaboration with Turkish Consulates abroad for targeted outreach to diaspora academics</w:t>
      </w:r>
    </w:p>
    <w:bookmarkEnd w:id="26"/>
    <w:bookmarkStart w:id="27" w:name="X20f93b042ab1f62541546c22fb5dd6b65d696bb"/>
    <w:p>
      <w:pPr>
        <w:pStyle w:val="Heading3"/>
      </w:pPr>
      <w:r>
        <w:t xml:space="preserve">Promotion: Authentic Storytelling &amp; Community Building</w:t>
      </w:r>
    </w:p>
    <w:p>
      <w:pPr>
        <w:pStyle w:val="FirstParagraph"/>
      </w:pPr>
      <w:r>
        <w:t xml:space="preserve">We humanize the University Lecturer experience through genuine narratives:</w:t>
      </w:r>
    </w:p>
    <w:p>
      <w:pPr>
        <w:numPr>
          <w:ilvl w:val="0"/>
          <w:numId w:val="1006"/>
        </w:numPr>
        <w:pStyle w:val="Compact"/>
      </w:pPr>
      <w:r>
        <w:t xml:space="preserve">Video series featuring current Istanbul-based lecturers discussing research breakthroughs and city life ("My Day as a Lecturer in Istanbul")</w:t>
      </w:r>
    </w:p>
    <w:p>
      <w:pPr>
        <w:numPr>
          <w:ilvl w:val="0"/>
          <w:numId w:val="1006"/>
        </w:numPr>
        <w:pStyle w:val="Compact"/>
      </w:pPr>
      <w:r>
        <w:t xml:space="preserve">Annual "Istanbul Academic Summit" attracting 500+ scholars, hosted by leading institutions</w:t>
      </w:r>
    </w:p>
    <w:p>
      <w:pPr>
        <w:numPr>
          <w:ilvl w:val="0"/>
          <w:numId w:val="1006"/>
        </w:numPr>
        <w:pStyle w:val="Compact"/>
      </w:pPr>
      <w:r>
        <w:t xml:space="preserve">Social media campaigns using #IstanbulAcademicExcellence on LinkedIn/Twitter targeting Turkish academia hashtags</w:t>
      </w:r>
    </w:p>
    <w:p>
      <w:pPr>
        <w:numPr>
          <w:ilvl w:val="0"/>
          <w:numId w:val="1006"/>
        </w:numPr>
        <w:pStyle w:val="Compact"/>
      </w:pPr>
      <w:r>
        <w:t xml:space="preserve">Co-branded content with Istanbul Chamber of Commerce highlighting lecturer contributions to local innovation</w:t>
      </w:r>
    </w:p>
    <w:bookmarkEnd w:id="27"/>
    <w:bookmarkEnd w:id="28"/>
    <w:bookmarkStart w:id="29" w:name="implementation-timeline-kpis"/>
    <w:p>
      <w:pPr>
        <w:pStyle w:val="Heading2"/>
      </w:pPr>
      <w:r>
        <w:t xml:space="preserve">Implementation Timeline &amp; KPIs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Market Research &amp; Alliance Building</w:t>
            </w:r>
          </w:p>
        </w:tc>
      </w:tr>
      <w:tr>
        <w:tc>
          <w:tcPr/>
          <w:p>
            <w:pPr>
              <w:pStyle w:val="Compact"/>
              <w:jc w:val="left"/>
            </w:pPr>
            <w:r>
              <w:rPr>
                <w:bCs/>
                <w:b/>
              </w:rPr>
              <w:t xml:space="preserve">Months 4–6:</w:t>
            </w:r>
            <w:r>
              <w:t xml:space="preserve"> </w:t>
            </w:r>
            <w:r>
              <w:t xml:space="preserve">Launch of Istanbul Academic Portal &amp; Summit</w:t>
            </w:r>
          </w:p>
        </w:tc>
      </w:tr>
      <w:tr>
        <w:tc>
          <w:tcPr/>
          <w:p>
            <w:pPr>
              <w:pStyle w:val="Compact"/>
              <w:jc w:val="left"/>
            </w:pPr>
            <w:r>
              <w:rPr>
                <w:bCs/>
                <w:b/>
              </w:rPr>
              <w:t xml:space="preserve">Months 7–12:</w:t>
            </w:r>
            <w:r>
              <w:t xml:space="preserve"> </w:t>
            </w:r>
            <w:r>
              <w:t xml:space="preserve">Full campaign rollout; Track application quality metrics</w:t>
            </w:r>
          </w:p>
        </w:tc>
      </w:tr>
      <w:tr>
        <w:tc>
          <w:tcPr/>
          <w:p>
            <w:pPr>
              <w:pStyle w:val="Compact"/>
              <w:jc w:val="left"/>
            </w:pPr>
            <w:r>
              <w:rPr>
                <w:bCs/>
                <w:b/>
              </w:rPr>
              <w:t xml:space="preserve">Months 13–18:</w:t>
            </w:r>
            <w:r>
              <w:t xml:space="preserve"> </w:t>
            </w:r>
            <w:r>
              <w:t xml:space="preserve">Retention analytics; Program refinement</w:t>
            </w:r>
          </w:p>
        </w:tc>
      </w:tr>
    </w:tbl>
    <w:bookmarkEnd w:id="29"/>
    <w:bookmarkStart w:id="30" w:name="X0015db1b2ef0b9ced58f6440d0993e8c999034b"/>
    <w:p>
      <w:pPr>
        <w:pStyle w:val="Heading2"/>
      </w:pPr>
      <w:r>
        <w:t xml:space="preserve">Economic Impact &amp; ROI Projection for Turkey Istanbul</w:t>
      </w:r>
    </w:p>
    <w:p>
      <w:pPr>
        <w:pStyle w:val="FirstParagraph"/>
      </w:pPr>
      <w:r>
        <w:t xml:space="preserve">This Marketing Plan directly supports Turkey’s goal to become a regional education leader. For every 10% increase in qualified University Lecturer retention, institutions report 18% higher student satisfaction and 30% faster research output. In Istanbul alone, this translates to an estimated €45M annual economic boost through enhanced graduate employability and innovation partnerships. Crucially, by making "University Lecturer" roles synonymous with career growth in Turkey Istanbul—rather than a mere job—this strategy builds long-term institutional resilience in an increasingly competitive global academic market.</w:t>
      </w:r>
    </w:p>
    <w:bookmarkEnd w:id="30"/>
    <w:bookmarkStart w:id="31" w:name="X589c03017b978e1371af3326c4f158bf4e781a7"/>
    <w:p>
      <w:pPr>
        <w:pStyle w:val="Heading2"/>
      </w:pPr>
      <w:r>
        <w:t xml:space="preserve">Conclusion: The Future of Academia in Turkey Istanbul</w:t>
      </w:r>
    </w:p>
    <w:p>
      <w:pPr>
        <w:pStyle w:val="FirstParagraph"/>
      </w:pPr>
      <w:r>
        <w:t xml:space="preserve">This Marketing Plan transcends traditional HR tactics to position University Lecturers as the catalysts for Istanbul’s emergence as a knowledge hub. By centering our strategy on the genuine needs of academics within Turkey's unique context, we create a self-sustaining cycle: exceptional lecturers attract top students, driving institutional prestige and further elevating the appeal of an academic career in Istanbul. As Turkey accelerates its education reforms, this plan ensures that Istanbul remains not just a location for University Lecturers—but the destination they actively choose to shape the future of knowledge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Excellence in University Lecturers Across Turkey Istanbul</dc:title>
  <dc:creator/>
  <dc:language>en</dc:language>
  <cp:keywords/>
  <dcterms:created xsi:type="dcterms:W3CDTF">2026-07-24T00:21:53Z</dcterms:created>
  <dcterms:modified xsi:type="dcterms:W3CDTF">2026-07-24T00:21:53Z</dcterms:modified>
</cp:coreProperties>
</file>

<file path=docProps/custom.xml><?xml version="1.0" encoding="utf-8"?>
<Properties xmlns="http://schemas.openxmlformats.org/officeDocument/2006/custom-properties" xmlns:vt="http://schemas.openxmlformats.org/officeDocument/2006/docPropsVTypes"/>
</file>