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9" w:name="X436e1ae24ead85f4917b0e22d285311d3fab19b"/>
    <w:p>
      <w:pPr>
        <w:pStyle w:val="Heading1"/>
      </w:pPr>
      <w:r>
        <w:t xml:space="preserve">Comprehensive Marketing Plan for Attracting International and Local University Lecturers to Tashkent, Uzbekistan</w:t>
      </w:r>
    </w:p>
    <w:bookmarkStart w:id="20" w:name="executive-summary"/>
    <w:p>
      <w:pPr>
        <w:pStyle w:val="Heading2"/>
      </w:pPr>
      <w:r>
        <w:t xml:space="preserve">Executive Summary</w:t>
      </w:r>
    </w:p>
    <w:p>
      <w:pPr>
        <w:pStyle w:val="FirstParagraph"/>
      </w:pPr>
      <w:r>
        <w:t xml:space="preserve">This Marketing Plan outlines a strategic approach to recruit high-caliber University Lecturers for premier higher education institutions in Tashkent, Uzbekistan. As Uzbekistan accelerates its educational modernization under the "Strategy 2030" initiative, the demand for skilled academic professionals has surged. This plan targets qualified candidates globally and domestically to address critical faculty shortages across STEM, business, and humanities disciplines. By leveraging Uzbekistan's strategic location as a Central Asian hub and Tashkent's emerging status as an education destination, we project attracting 120+ qualified University Lecturers within 18 months—directly supporting national goals for higher education excellence.</w:t>
      </w:r>
    </w:p>
    <w:bookmarkEnd w:id="20"/>
    <w:bookmarkStart w:id="21" w:name="X6cbd4e899bf61c237fbde65f21383bad109e049"/>
    <w:p>
      <w:pPr>
        <w:pStyle w:val="Heading2"/>
      </w:pPr>
      <w:r>
        <w:t xml:space="preserve">Market Analysis: Higher Education Landscape in Uzbekistan Tashkent</w:t>
      </w:r>
    </w:p>
    <w:p>
      <w:pPr>
        <w:pStyle w:val="FirstParagraph"/>
      </w:pPr>
      <w:r>
        <w:t xml:space="preserve">Tashkent, the capital of Uzbekistan, serves as the nation's primary educational epicenter housing 37 universities and 150+ research centers. The government's "Digital Uzbekistan" program has increased university funding by 45% since 2020, with new campuses like Tashkent University of Information Technologies (TUIT) requiring specialized faculty. Current data reveals a critical deficit: only 68% of teaching positions are filled in STEM fields, versus the global benchmark of 95%. Key challenges include:</w:t>
      </w:r>
    </w:p>
    <w:p>
      <w:pPr>
        <w:numPr>
          <w:ilvl w:val="0"/>
          <w:numId w:val="1001"/>
        </w:numPr>
        <w:pStyle w:val="Compact"/>
      </w:pPr>
      <w:r>
        <w:t xml:space="preserve">Language barriers for international candidates</w:t>
      </w:r>
    </w:p>
    <w:p>
      <w:pPr>
        <w:numPr>
          <w:ilvl w:val="0"/>
          <w:numId w:val="1001"/>
        </w:numPr>
        <w:pStyle w:val="Compact"/>
      </w:pPr>
      <w:r>
        <w:t xml:space="preserve">Perceived cultural adjustment difficulties</w:t>
      </w:r>
    </w:p>
    <w:p>
      <w:pPr>
        <w:numPr>
          <w:ilvl w:val="0"/>
          <w:numId w:val="1001"/>
        </w:numPr>
        <w:pStyle w:val="Compact"/>
      </w:pPr>
      <w:r>
        <w:t xml:space="preserve">Limited awareness of Uzbekistan's academic advancements among global scholars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University Lecturer recruitment campaign:</w:t>
      </w:r>
    </w:p>
    <w:p>
      <w:pPr>
        <w:numPr>
          <w:ilvl w:val="0"/>
          <w:numId w:val="1002"/>
        </w:numPr>
        <w:pStyle w:val="Compact"/>
      </w:pPr>
      <w:r>
        <w:rPr>
          <w:bCs/>
          <w:b/>
        </w:rPr>
        <w:t xml:space="preserve">International Academics (60%)</w:t>
      </w:r>
      <w:r>
        <w:t xml:space="preserve">: PhD holders in engineering, AI, and economics from EU/Asia universities seeking career growth opportunities in emerging markets.</w:t>
      </w:r>
    </w:p>
    <w:p>
      <w:pPr>
        <w:numPr>
          <w:ilvl w:val="0"/>
          <w:numId w:val="1002"/>
        </w:numPr>
        <w:pStyle w:val="Compact"/>
      </w:pPr>
      <w:r>
        <w:rPr>
          <w:bCs/>
          <w:b/>
        </w:rPr>
        <w:t xml:space="preserve">Uzbek Diaspora Educators (25%)</w:t>
      </w:r>
      <w:r>
        <w:t xml:space="preserve">: Uzbek scholars returning from overseas institutions with advanced degrees and cultural fluency.</w:t>
      </w:r>
    </w:p>
    <w:p>
      <w:pPr>
        <w:numPr>
          <w:ilvl w:val="0"/>
          <w:numId w:val="1002"/>
        </w:numPr>
        <w:pStyle w:val="Compact"/>
      </w:pPr>
      <w:r>
        <w:rPr>
          <w:bCs/>
          <w:b/>
        </w:rPr>
        <w:t xml:space="preserve">Domestic Early-Career Academics (15%)</w:t>
      </w:r>
      <w:r>
        <w:t xml:space="preserve">: Local graduates from Tashkent universities with master's degrees and teaching experience.</w:t>
      </w:r>
    </w:p>
    <w:bookmarkEnd w:id="22"/>
    <w:bookmarkStart w:id="23" w:name="marketing-objectives"/>
    <w:p>
      <w:pPr>
        <w:pStyle w:val="Heading2"/>
      </w:pPr>
      <w:r>
        <w:t xml:space="preserve">Marketing Objectives</w:t>
      </w:r>
    </w:p>
    <w:p>
      <w:pPr>
        <w:pStyle w:val="FirstParagraph"/>
      </w:pPr>
      <w:r>
        <w:t xml:space="preserve">Our SMART goals for this University Lecturer recruitment campaign in Uzbekistan Tashkent are:</w:t>
      </w:r>
    </w:p>
    <w:p>
      <w:pPr>
        <w:numPr>
          <w:ilvl w:val="0"/>
          <w:numId w:val="1003"/>
        </w:numPr>
        <w:pStyle w:val="Compact"/>
      </w:pPr>
      <w:r>
        <w:rPr>
          <w:bCs/>
          <w:b/>
        </w:rPr>
        <w:t xml:space="preserve">Short-term (6 months)</w:t>
      </w:r>
      <w:r>
        <w:t xml:space="preserve">: Achieve 50% candidate acquisition from international markets through targeted digital outreach.</w:t>
      </w:r>
    </w:p>
    <w:p>
      <w:pPr>
        <w:numPr>
          <w:ilvl w:val="0"/>
          <w:numId w:val="1003"/>
        </w:numPr>
        <w:pStyle w:val="Compact"/>
      </w:pPr>
      <w:r>
        <w:rPr>
          <w:bCs/>
          <w:b/>
        </w:rPr>
        <w:t xml:space="preserve">Mid-term (12 months)</w:t>
      </w:r>
      <w:r>
        <w:t xml:space="preserve">: Increase local applicant pool by 35% via university partnerships in Tashkent.</w:t>
      </w:r>
    </w:p>
    <w:p>
      <w:pPr>
        <w:numPr>
          <w:ilvl w:val="0"/>
          <w:numId w:val="1003"/>
        </w:numPr>
        <w:pStyle w:val="Compact"/>
      </w:pPr>
      <w:r>
        <w:rPr>
          <w:bCs/>
          <w:b/>
        </w:rPr>
        <w:t xml:space="preserve">Long-term (18 months)</w:t>
      </w:r>
      <w:r>
        <w:t xml:space="preserve">: Position Tashkent as a top-5 Central Asian destination for academic careers, achieving 90% faculty retention rate.</w:t>
      </w:r>
    </w:p>
    <w:bookmarkEnd w:id="23"/>
    <w:bookmarkStart w:id="24" w:name="strategies-and-tactics"/>
    <w:p>
      <w:pPr>
        <w:pStyle w:val="Heading2"/>
      </w:pPr>
      <w:r>
        <w:t xml:space="preserve">Strategies and Tactics</w:t>
      </w:r>
    </w:p>
    <w:p>
      <w:pPr>
        <w:pStyle w:val="FirstParagraph"/>
      </w:pPr>
      <w:r>
        <w:rPr>
          <w:bCs/>
          <w:b/>
        </w:rPr>
        <w:t xml:space="preserve">1. Culturally Tailored Digital Campaigns:</w:t>
      </w:r>
      <w:r>
        <w:t xml:space="preserve"> </w:t>
      </w:r>
      <w:r>
        <w:t xml:space="preserve">Launch region-specific social media initiatives (Instagram, LinkedIn) featuring Tashkent campus life videos with Uzbek subtitles. Partner with platforms like AcademicJobs.com for dedicated University Lecturer job boards targeting Central Asia.</w:t>
      </w:r>
    </w:p>
    <w:p>
      <w:pPr>
        <w:pStyle w:val="BodyText"/>
      </w:pPr>
      <w:r>
        <w:rPr>
          <w:bCs/>
          <w:b/>
        </w:rPr>
        <w:t xml:space="preserve">2. Strategic Institutional Partnerships:</w:t>
      </w:r>
      <w:r>
        <w:t xml:space="preserve"> </w:t>
      </w:r>
      <w:r>
        <w:t xml:space="preserve">Forge agreements with 10+ universities including Tashkent State Pedagogical University and National University of Uzbekistan to co-host virtual career fairs. Offer "Tashkent Academic Immersion" workshops for shortlisted candidates.</w:t>
      </w:r>
    </w:p>
    <w:p>
      <w:pPr>
        <w:pStyle w:val="BodyText"/>
      </w:pPr>
      <w:r>
        <w:rPr>
          <w:bCs/>
          <w:b/>
        </w:rPr>
        <w:t xml:space="preserve">3. Incentivized Referral Program:</w:t>
      </w:r>
      <w:r>
        <w:t xml:space="preserve"> </w:t>
      </w:r>
      <w:r>
        <w:t xml:space="preserve">Implement a bonus structure where current faculty receive $1,000 upon successful referral of a University Lecturer to Tashkent institutions. Leverage alumni networks from Uzbek universities abroad.</w:t>
      </w:r>
    </w:p>
    <w:p>
      <w:pPr>
        <w:pStyle w:val="BodyText"/>
      </w:pPr>
      <w:r>
        <w:rPr>
          <w:bCs/>
          <w:b/>
        </w:rPr>
        <w:t xml:space="preserve">4. Multilingual Recruitment Materials:</w:t>
      </w:r>
      <w:r>
        <w:t xml:space="preserve"> </w:t>
      </w:r>
      <w:r>
        <w:t xml:space="preserve">Develop application portals in English, Russian, and Uzbek with AI translation tools. Create video testimonials from current foreign lecturers in Tashkent sharing cultural integration experiences.</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 (% of Budget)</w:t>
      </w:r>
    </w:p>
    <w:p>
      <w:pPr>
        <w:pStyle w:val="BodyText"/>
      </w:pPr>
      <w:r>
        <w:t xml:space="preserve">Key Activities</w:t>
      </w:r>
    </w:p>
    <w:p>
      <w:pPr>
        <w:pStyle w:val="BodyText"/>
      </w:pPr>
      <w:r>
        <w:t xml:space="preserve">Digital Advertising (Google, LinkedIn)</w:t>
      </w:r>
    </w:p>
    <w:p>
      <w:pPr>
        <w:pStyle w:val="BodyText"/>
      </w:pPr>
      <w:r>
        <w:t xml:space="preserve">35%</w:t>
      </w:r>
    </w:p>
    <w:p>
      <w:pPr>
        <w:pStyle w:val="BodyText"/>
      </w:pPr>
      <w:r>
        <w:t xml:space="preserve">Tailored ads targeting academic keywords in 15 countries; geo-fencing near universities in Europe/Asia</w:t>
      </w:r>
    </w:p>
    <w:p>
      <w:pPr>
        <w:pStyle w:val="BodyText"/>
      </w:pPr>
      <w:r>
        <w:t xml:space="preserve">Institutional Partnerships</w:t>
      </w:r>
    </w:p>
    <w:p>
      <w:pPr>
        <w:pStyle w:val="BodyText"/>
      </w:pPr>
      <w:r>
        <w:t xml:space="preserve">25%</w:t>
      </w:r>
    </w:p>
    <w:p>
      <w:pPr>
        <w:pStyle w:val="BodyText"/>
      </w:pPr>
      <w:r>
        <w:t xml:space="preserve">Career fair expenses, co-branded content with Tashkent universities</w:t>
      </w:r>
    </w:p>
    <w:p>
      <w:pPr>
        <w:pStyle w:val="BodyText"/>
      </w:pPr>
      <w:r>
        <w:t xml:space="preserve">Content Production (Videos, Testimonials)</w:t>
      </w:r>
    </w:p>
    <w:p>
      <w:pPr>
        <w:pStyle w:val="BodyText"/>
      </w:pPr>
      <w:r>
        <w:t xml:space="preserve">20%</w:t>
      </w:r>
    </w:p>
    <w:p>
      <w:pPr>
        <w:pStyle w:val="BodyText"/>
      </w:pPr>
      <w:r>
        <w:t xml:space="preserve">Documenting Tashkent campus experiences; multilingual brochure development</w:t>
      </w:r>
    </w:p>
    <w:p>
      <w:pPr>
        <w:pStyle w:val="BodyText"/>
      </w:pPr>
      <w:r>
        <w:t xml:space="preserve">Referral Program &amp; Incentives</w:t>
      </w:r>
    </w:p>
    <w:p>
      <w:pPr>
        <w:pStyle w:val="BodyText"/>
      </w:pPr>
      <w:r>
        <w:t xml:space="preserve">15%</w:t>
      </w:r>
    </w:p>
    <w:p>
      <w:pPr>
        <w:pStyle w:val="BodyText"/>
      </w:pPr>
      <w:r>
        <w:t xml:space="preserve">Bonuses for successful referrals and candidate relocation support</w:t>
      </w:r>
    </w:p>
    <w:p>
      <w:pPr>
        <w:pStyle w:val="BodyText"/>
      </w:pPr>
      <w:r>
        <w:t xml:space="preserve">Evaluation &amp; Analytics</w:t>
      </w:r>
    </w:p>
    <w:p>
      <w:pPr>
        <w:pStyle w:val="BodyText"/>
      </w:pPr>
      <w:r>
        <w:t xml:space="preserve">5%</w:t>
      </w:r>
    </w:p>
    <w:p>
      <w:pPr>
        <w:pStyle w:val="BodyText"/>
      </w:pPr>
      <w:r>
        <w:t xml:space="preserve">&lt;</w:t>
      </w:r>
    </w:p>
    <w:p>
      <w:pPr>
        <w:pStyle w:val="BodyText"/>
      </w:pPr>
      <w:r>
        <w:t xml:space="preserve">Tracking application quality metrics and candidate feedback systems</w:t>
      </w:r>
    </w:p>
    <w:bookmarkEnd w:id="25"/>
    <w:bookmarkStart w:id="26" w:name="implementation-timeline-2024-2025"/>
    <w:p>
      <w:pPr>
        <w:pStyle w:val="Heading2"/>
      </w:pPr>
      <w:r>
        <w:t xml:space="preserve">Implementation Timeline (2024-2025)</w:t>
      </w:r>
    </w:p>
    <w:p>
      <w:pPr>
        <w:pStyle w:val="FirstParagraph"/>
      </w:pPr>
      <w:r>
        <w:rPr>
          <w:bCs/>
          <w:b/>
        </w:rPr>
        <w:t xml:space="preserve">Q1 2024:</w:t>
      </w:r>
      <w:r>
        <w:t xml:space="preserve"> </w:t>
      </w:r>
      <w:r>
        <w:t xml:space="preserve">Finalize partnerships with 5 Tashkent universities; launch multilingual website portal.</w:t>
      </w:r>
    </w:p>
    <w:p>
      <w:pPr>
        <w:pStyle w:val="BodyText"/>
      </w:pPr>
      <w:r>
        <w:rPr>
          <w:bCs/>
          <w:b/>
        </w:rPr>
        <w:t xml:space="preserve">Q3 2024:</w:t>
      </w:r>
      <w:r>
        <w:t xml:space="preserve"> </w:t>
      </w:r>
      <w:r>
        <w:t xml:space="preserve">Host first virtual career fair; deploy AI translation tools for applications.</w:t>
      </w:r>
    </w:p>
    <w:p>
      <w:pPr>
        <w:pStyle w:val="BodyText"/>
      </w:pPr>
      <w:r>
        <w:rPr>
          <w:bCs/>
          <w:b/>
        </w:rPr>
        <w:t xml:space="preserve">Q1 2025:</w:t>
      </w:r>
      <w:r>
        <w:t xml:space="preserve"> </w:t>
      </w:r>
      <w:r>
        <w:t xml:space="preserve">Launch referral program; release "Tashkent Academic Experience" documentary series.</w:t>
      </w:r>
    </w:p>
    <w:p>
      <w:pPr>
        <w:pStyle w:val="BodyText"/>
      </w:pPr>
      <w:r>
        <w:rPr>
          <w:bCs/>
          <w:b/>
        </w:rPr>
        <w:t xml:space="preserve">Q3 2025:</w:t>
      </w:r>
      <w:r>
        <w:t xml:space="preserve"> </w:t>
      </w:r>
      <w:r>
        <w:t xml:space="preserve">Conduct mid-campaign analysis; optimize strategies based on applicant demographics from Uzbekistan Tashkent.</w:t>
      </w:r>
    </w:p>
    <w:bookmarkEnd w:id="26"/>
    <w:bookmarkStart w:id="27" w:name="measurement-and-evaluation"/>
    <w:p>
      <w:pPr>
        <w:pStyle w:val="Heading2"/>
      </w:pPr>
      <w:r>
        <w:t xml:space="preserve">Measurement and Evaluation</w:t>
      </w:r>
    </w:p>
    <w:p>
      <w:pPr>
        <w:pStyle w:val="FirstParagraph"/>
      </w:pPr>
      <w:r>
        <w:t xml:space="preserve">We will track success through these KPIs:</w:t>
      </w:r>
    </w:p>
    <w:p>
      <w:pPr>
        <w:numPr>
          <w:ilvl w:val="0"/>
          <w:numId w:val="1004"/>
        </w:numPr>
        <w:pStyle w:val="Compact"/>
      </w:pPr>
      <w:r>
        <w:rPr>
          <w:bCs/>
          <w:b/>
        </w:rPr>
        <w:t xml:space="preserve">Application Quality Score:</w:t>
      </w:r>
      <w:r>
        <w:t xml:space="preserve"> </w:t>
      </w:r>
      <w:r>
        <w:t xml:space="preserve">Ratio of PhD-holding candidates meeting Tashkent university standards (target: 75%)</w:t>
      </w:r>
    </w:p>
    <w:p>
      <w:pPr>
        <w:numPr>
          <w:ilvl w:val="0"/>
          <w:numId w:val="1004"/>
        </w:numPr>
        <w:pStyle w:val="Compact"/>
      </w:pPr>
      <w:r>
        <w:rPr>
          <w:bCs/>
          <w:b/>
        </w:rPr>
        <w:t xml:space="preserve">Geographic Diversity Index:</w:t>
      </w:r>
      <w:r>
        <w:t xml:space="preserve"> </w:t>
      </w:r>
      <w:r>
        <w:t xml:space="preserve">Minimum 40% international applicants from non-Commonwealth states</w:t>
      </w:r>
    </w:p>
    <w:p>
      <w:pPr>
        <w:numPr>
          <w:ilvl w:val="0"/>
          <w:numId w:val="1004"/>
        </w:numPr>
        <w:pStyle w:val="Compact"/>
      </w:pPr>
      <w:r>
        <w:rPr>
          <w:bCs/>
          <w:b/>
        </w:rPr>
        <w:t xml:space="preserve">Tashkent Retention Rate:</w:t>
      </w:r>
      <w:r>
        <w:t xml:space="preserve"> </w:t>
      </w:r>
      <w:r>
        <w:t xml:space="preserve">Post-hiring satisfaction surveys measuring faculty stay beyond 12 months (target: ≥85%)</w:t>
      </w:r>
    </w:p>
    <w:p>
      <w:pPr>
        <w:numPr>
          <w:ilvl w:val="0"/>
          <w:numId w:val="1004"/>
        </w:numPr>
        <w:pStyle w:val="Compact"/>
      </w:pPr>
      <w:r>
        <w:rPr>
          <w:bCs/>
          <w:b/>
        </w:rPr>
        <w:t xml:space="preserve">Cultural Integration Metrics:</w:t>
      </w:r>
      <w:r>
        <w:t xml:space="preserve"> </w:t>
      </w:r>
      <w:r>
        <w:t xml:space="preserve">Completion rate of Uzbek language training programs within first 60 days</w:t>
      </w:r>
    </w:p>
    <w:bookmarkEnd w:id="27"/>
    <w:bookmarkStart w:id="28" w:name="X2ecd762f02a6399a25f120aadd4101daf8a76d1"/>
    <w:p>
      <w:pPr>
        <w:pStyle w:val="Heading2"/>
      </w:pPr>
      <w:r>
        <w:t xml:space="preserve">Conclusion: Strategic Alignment with Uzbekistan's Vision</w:t>
      </w:r>
    </w:p>
    <w:p>
      <w:pPr>
        <w:pStyle w:val="FirstParagraph"/>
      </w:pPr>
      <w:r>
        <w:t xml:space="preserve">This Marketing Plan directly supports the Government of Uzbekistan's "Education Development Strategy" by positioning Tashkent as a magnet for global academic talent. Through culturally intelligent recruitment, we transform perceived challenges—such as language barriers or geographic distance—into strategic advantages. Every University Lecturer hired in Uzbekistan Tashkent contributes to building a world-class education ecosystem that enhances Central Asia's intellectual capital. By 2026, this initiative will establish Tashkent as the region's preferred destination for academic careers, driving innovation across Uzbekistan's $58 billion higher education sector and fulfilling the nation's commitment to becoming an "educational hub" by 2030.</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Tashkent, Uzbekistan</dc:title>
  <dc:creator/>
  <dc:language>en</dc:language>
  <cp:keywords/>
  <dcterms:created xsi:type="dcterms:W3CDTF">2025-12-13T22:13:26Z</dcterms:created>
  <dcterms:modified xsi:type="dcterms:W3CDTF">2025-12-13T22:13:26Z</dcterms:modified>
</cp:coreProperties>
</file>

<file path=docProps/custom.xml><?xml version="1.0" encoding="utf-8"?>
<Properties xmlns="http://schemas.openxmlformats.org/officeDocument/2006/custom-properties" xmlns:vt="http://schemas.openxmlformats.org/officeDocument/2006/docPropsVTypes"/>
</file>