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35" w:name="X598d1a0cba0bd96c980f3b00e39db370bfb4e96"/>
    <w:p>
      <w:pPr>
        <w:pStyle w:val="Heading1"/>
      </w:pPr>
      <w:r>
        <w:t xml:space="preserve">Comprehensive Marketing Plan for UX/UI Designer Recruitment in Germany Berlin</w:t>
      </w:r>
    </w:p>
    <w:bookmarkStart w:id="20" w:name="executive-summary"/>
    <w:p>
      <w:pPr>
        <w:pStyle w:val="Heading2"/>
      </w:pPr>
      <w:r>
        <w:t xml:space="preserve">Executive Summary</w:t>
      </w:r>
    </w:p>
    <w:p>
      <w:pPr>
        <w:pStyle w:val="FirstParagraph"/>
      </w:pPr>
      <w:r>
        <w:t xml:space="preserve">This Marketing Plan outlines a targeted strategy to attract top-tier UX/UI Designers to join our creative team in Berlin, Germany. With Berlin emerging as Europe's fastest-growing tech hub and home to over 500+ startups, we recognize the critical need for exceptional user experience professionals who can thrive in our dynamic ecosystem. This plan addresses the unique challenges of recruiting UX UI Designer talent in Germany Berlin by leveraging local market insights, cultural nuances, and industry-specific channels to secure candidates who embody both technical excellence and Berlin's innovative spirit.</w:t>
      </w:r>
    </w:p>
    <w:bookmarkEnd w:id="20"/>
    <w:bookmarkStart w:id="21" w:name="X39335222c1c18cc69b3ece3b8f6f4b9c427b64b"/>
    <w:p>
      <w:pPr>
        <w:pStyle w:val="Heading2"/>
      </w:pPr>
      <w:r>
        <w:t xml:space="preserve">Market Analysis: Berlin's UX/UI Design Landscape</w:t>
      </w:r>
    </w:p>
    <w:p>
      <w:pPr>
        <w:pStyle w:val="FirstParagraph"/>
      </w:pPr>
      <w:r>
        <w:t xml:space="preserve">Germany Berlin has evolved into a magnet for digital innovation, with the city boasting the highest concentration of design-focused tech companies in Central Europe. According to the 2023 Digital Economy Report, Berlin's tech sector employs over 150,000 professionals, with UX/UI Design roles growing at 27% annually. However, a persistent talent shortage exists – only 18% of design positions are filled within 6 months due to fierce competition from global players like Spotify and Zalando. Key insights driving our strategy:</w:t>
      </w:r>
    </w:p>
    <w:p>
      <w:pPr>
        <w:numPr>
          <w:ilvl w:val="0"/>
          <w:numId w:val="1001"/>
        </w:numPr>
        <w:pStyle w:val="Compact"/>
      </w:pPr>
      <w:r>
        <w:rPr>
          <w:bCs/>
          <w:b/>
        </w:rPr>
        <w:t xml:space="preserve">Cultural Fit:</w:t>
      </w:r>
      <w:r>
        <w:t xml:space="preserve"> </w:t>
      </w:r>
      <w:r>
        <w:t xml:space="preserve">Berlin's design scene values creativity within collaborative, flat-organization structures – not just technical skills</w:t>
      </w:r>
    </w:p>
    <w:p>
      <w:pPr>
        <w:numPr>
          <w:ilvl w:val="0"/>
          <w:numId w:val="1001"/>
        </w:numPr>
        <w:pStyle w:val="Compact"/>
      </w:pPr>
      <w:r>
        <w:rPr>
          <w:bCs/>
          <w:b/>
        </w:rPr>
        <w:t xml:space="preserve">Local Preferences:</w:t>
      </w:r>
      <w:r>
        <w:t xml:space="preserve"> </w:t>
      </w:r>
      <w:r>
        <w:t xml:space="preserve">73% of German designers prioritize work-life balance and remote flexibility over salary premiums</w:t>
      </w:r>
    </w:p>
    <w:p>
      <w:pPr>
        <w:numPr>
          <w:ilvl w:val="0"/>
          <w:numId w:val="1001"/>
        </w:numPr>
        <w:pStyle w:val="Compact"/>
      </w:pPr>
      <w:r>
        <w:rPr>
          <w:bCs/>
          <w:b/>
        </w:rPr>
        <w:t xml:space="preserve">Educational Pipeline:</w:t>
      </w:r>
      <w:r>
        <w:t xml:space="preserve"> </w:t>
      </w:r>
      <w:r>
        <w:t xml:space="preserve">Berlin's universities (Hochschule für bildende Künste, TU Berlin) produce 450+ design graduates yearly, but only 22% possess industry-ready UX skills</w:t>
      </w:r>
    </w:p>
    <w:bookmarkEnd w:id="21"/>
    <w:bookmarkStart w:id="25" w:name="target-audience-segmentation"/>
    <w:p>
      <w:pPr>
        <w:pStyle w:val="Heading2"/>
      </w:pPr>
      <w:r>
        <w:t xml:space="preserve">Target Audience Segmentation</w:t>
      </w:r>
    </w:p>
    <w:p>
      <w:pPr>
        <w:pStyle w:val="FirstParagraph"/>
      </w:pPr>
      <w:r>
        <w:t xml:space="preserve">We've defined three priority candidate segments for our UX UI Designer recruitment in Germany Berlin:</w:t>
      </w:r>
    </w:p>
    <w:bookmarkStart w:id="22" w:name="senior-designers-5-years-experience"/>
    <w:p>
      <w:pPr>
        <w:pStyle w:val="Heading3"/>
      </w:pPr>
      <w:r>
        <w:t xml:space="preserve">1. Senior Designers (5+ years experience)</w:t>
      </w:r>
    </w:p>
    <w:p>
      <w:pPr>
        <w:pStyle w:val="FirstParagraph"/>
      </w:pPr>
      <w:r>
        <w:t xml:space="preserve">Focus: Mid-career professionals seeking leadership roles who value Berlin's startup ecosystem and cultural diversity. Key triggers: impact on 50k+ user base, equity options, and opportunities to shape product vision.</w:t>
      </w:r>
    </w:p>
    <w:bookmarkEnd w:id="22"/>
    <w:bookmarkStart w:id="23" w:name="emerging-talent-1-4-years-experience"/>
    <w:p>
      <w:pPr>
        <w:pStyle w:val="Heading3"/>
      </w:pPr>
      <w:r>
        <w:t xml:space="preserve">2. Emerging Talent (1-4 years experience)</w:t>
      </w:r>
    </w:p>
    <w:p>
      <w:pPr>
        <w:pStyle w:val="FirstParagraph"/>
      </w:pPr>
      <w:r>
        <w:t xml:space="preserve">Focus: Recent design graduates from Berlin universities craving mentorship in agile environments. Key triggers: structured learning paths, participation in Berlin's Design Week events, and portfolio-building opportunities.</w:t>
      </w:r>
    </w:p>
    <w:bookmarkEnd w:id="23"/>
    <w:bookmarkStart w:id="24" w:name="international-candidates-global-mobility"/>
    <w:p>
      <w:pPr>
        <w:pStyle w:val="Heading3"/>
      </w:pPr>
      <w:r>
        <w:t xml:space="preserve">3. International Candidates (Global mobility)</w:t>
      </w:r>
    </w:p>
    <w:p>
      <w:pPr>
        <w:pStyle w:val="FirstParagraph"/>
      </w:pPr>
      <w:r>
        <w:t xml:space="preserve">Focus: EU/US designers seeking relocation to Germany with visa sponsorship support. Key triggers: German language training assistance, integration programs, and Berlin's reputation as a "digital capital."</w:t>
      </w:r>
    </w:p>
    <w:bookmarkEnd w:id="24"/>
    <w:bookmarkEnd w:id="25"/>
    <w:bookmarkStart w:id="26" w:name="unique-value-proposition-uvp"/>
    <w:p>
      <w:pPr>
        <w:pStyle w:val="Heading2"/>
      </w:pPr>
      <w:r>
        <w:t xml:space="preserve">Unique Value Proposition (UVP)</w:t>
      </w:r>
    </w:p>
    <w:p>
      <w:pPr>
        <w:pStyle w:val="FirstParagraph"/>
      </w:pPr>
      <w:r>
        <w:t xml:space="preserve">Beyond competitive compensation, we offer:</w:t>
      </w:r>
    </w:p>
    <w:p>
      <w:pPr>
        <w:numPr>
          <w:ilvl w:val="0"/>
          <w:numId w:val="1002"/>
        </w:numPr>
        <w:pStyle w:val="Compact"/>
      </w:pPr>
      <w:r>
        <w:rPr>
          <w:bCs/>
          <w:b/>
        </w:rPr>
        <w:t xml:space="preserve">Berlin-Centric Growth:</w:t>
      </w:r>
      <w:r>
        <w:t xml:space="preserve"> </w:t>
      </w:r>
      <w:r>
        <w:t xml:space="preserve">Dedicated access to Berlin's design community – including exclusive meetups at co-working spaces like Betahaus and participation in the annual Berlin UX Conference</w:t>
      </w:r>
    </w:p>
    <w:p>
      <w:pPr>
        <w:numPr>
          <w:ilvl w:val="0"/>
          <w:numId w:val="1002"/>
        </w:numPr>
        <w:pStyle w:val="Compact"/>
      </w:pPr>
      <w:r>
        <w:rPr>
          <w:bCs/>
          <w:b/>
        </w:rPr>
        <w:t xml:space="preserve">Cultural Integration:</w:t>
      </w:r>
      <w:r>
        <w:t xml:space="preserve"> </w:t>
      </w:r>
      <w:r>
        <w:t xml:space="preserve">"Berlin Immersion" package covering language courses (from A1 to B2), city tours, and networking with local design collectives</w:t>
      </w:r>
    </w:p>
    <w:p>
      <w:pPr>
        <w:numPr>
          <w:ilvl w:val="0"/>
          <w:numId w:val="1002"/>
        </w:numPr>
        <w:pStyle w:val="Compact"/>
      </w:pPr>
      <w:r>
        <w:rPr>
          <w:bCs/>
          <w:b/>
        </w:rPr>
        <w:t xml:space="preserve">Sustainable Impact:</w:t>
      </w:r>
      <w:r>
        <w:t xml:space="preserve"> </w:t>
      </w:r>
      <w:r>
        <w:t xml:space="preserve">30% of designer work hours allocated to socially impactful projects – aligning with Berlin's strong sustainability ethos</w:t>
      </w:r>
    </w:p>
    <w:bookmarkEnd w:id="26"/>
    <w:bookmarkStart w:id="30" w:name="marketing-strategy-tactics"/>
    <w:p>
      <w:pPr>
        <w:pStyle w:val="Heading2"/>
      </w:pPr>
      <w:r>
        <w:t xml:space="preserve">Marketing Strategy &amp; Tactics</w:t>
      </w:r>
    </w:p>
    <w:bookmarkStart w:id="27" w:name="phase-1-digital-recruitment-months-1-3"/>
    <w:p>
      <w:pPr>
        <w:pStyle w:val="Heading3"/>
      </w:pPr>
      <w:r>
        <w:t xml:space="preserve">Phase 1: Digital Recruitment (Months 1-3)</w:t>
      </w:r>
    </w:p>
    <w:p>
      <w:pPr>
        <w:pStyle w:val="FirstParagraph"/>
      </w:pPr>
      <w:r>
        <w:rPr>
          <w:bCs/>
          <w:b/>
        </w:rPr>
        <w:t xml:space="preserve">Platform Optimization:</w:t>
      </w:r>
      <w:r>
        <w:t xml:space="preserve"> </w:t>
      </w:r>
      <w:r>
        <w:t xml:space="preserve">We'll tailor our LinkedIn and X (Twitter) campaigns with German-specific keywords ("UX/UI Designer Berlin," "Design Jobs Germany") and showcase Berlin workplace culture through video content. All job postings will include clear relocation support details for international candidates.</w:t>
      </w:r>
    </w:p>
    <w:bookmarkEnd w:id="27"/>
    <w:bookmarkStart w:id="28" w:name="phase-2-community-engagement-months-2-4"/>
    <w:p>
      <w:pPr>
        <w:pStyle w:val="Heading3"/>
      </w:pPr>
      <w:r>
        <w:t xml:space="preserve">Phase 2: Community Engagement (Months 2-4)</w:t>
      </w:r>
    </w:p>
    <w:p>
      <w:pPr>
        <w:pStyle w:val="FirstParagraph"/>
      </w:pPr>
      <w:r>
        <w:rPr>
          <w:bCs/>
          <w:b/>
        </w:rPr>
        <w:t xml:space="preserve">Strategic Partnerships:</w:t>
      </w:r>
      <w:r>
        <w:t xml:space="preserve"> </w:t>
      </w:r>
      <w:r>
        <w:t xml:space="preserve">Collaborate with Berlin institutions like Design Thinking Hub Berlin and Figma's local user group to host "Berlin Design Sprint" workshops. We'll sponsor the annual Berlin Design Awards to increase visibility among local talent.</w:t>
      </w:r>
    </w:p>
    <w:bookmarkEnd w:id="28"/>
    <w:bookmarkStart w:id="29" w:name="phase-3-employer-branding-ongoing"/>
    <w:p>
      <w:pPr>
        <w:pStyle w:val="Heading3"/>
      </w:pPr>
      <w:r>
        <w:t xml:space="preserve">Phase 3: Employer Branding (Ongoing)</w:t>
      </w:r>
    </w:p>
    <w:p>
      <w:pPr>
        <w:pStyle w:val="FirstParagraph"/>
      </w:pPr>
      <w:r>
        <w:rPr>
          <w:bCs/>
          <w:b/>
        </w:rPr>
        <w:t xml:space="preserve">Cultural Storytelling:</w:t>
      </w:r>
      <w:r>
        <w:t xml:space="preserve"> </w:t>
      </w:r>
      <w:r>
        <w:t xml:space="preserve">Develop a documentary-style video series showcasing our Berlin office (including the famous Hackesche Höfe courtyard) and designer testimonials about life in Berlin. Will be distributed via Instagram Reels and LinkedIn, emphasizing "Why Berlin?" for designers.</w:t>
      </w:r>
    </w:p>
    <w:bookmarkEnd w:id="29"/>
    <w:bookmarkEnd w:id="30"/>
    <w:bookmarkStart w:id="31" w:name="budget-allocation"/>
    <w:p>
      <w:pPr>
        <w:pStyle w:val="Heading2"/>
      </w:pPr>
      <w:r>
        <w:t xml:space="preserve">Budget Allocation</w:t>
      </w:r>
    </w:p>
    <w:p>
      <w:pPr>
        <w:pStyle w:val="FirstParagraph"/>
      </w:pPr>
      <w:r>
        <w:t xml:space="preserve">Channel</w:t>
      </w:r>
    </w:p>
    <w:p>
      <w:pPr>
        <w:pStyle w:val="BodyText"/>
      </w:pPr>
      <w:r>
        <w:t xml:space="preserve">Allocation (%)</w:t>
      </w:r>
    </w:p>
    <w:p>
      <w:pPr>
        <w:pStyle w:val="BodyText"/>
      </w:pPr>
      <w:r>
        <w:t xml:space="preserve">Expected ROI (Candidates/€)</w:t>
      </w:r>
    </w:p>
    <w:p>
      <w:pPr>
        <w:pStyle w:val="BodyText"/>
      </w:pPr>
      <w:r>
        <w:t xml:space="preserve">Digital Ads (LinkedIn, X)</w:t>
      </w:r>
    </w:p>
    <w:p>
      <w:pPr>
        <w:pStyle w:val="BodyText"/>
      </w:pPr>
      <w:r>
        <w:t xml:space="preserve">35%</w:t>
      </w:r>
    </w:p>
    <w:p>
      <w:pPr>
        <w:pStyle w:val="BodyText"/>
      </w:pPr>
      <w:r>
        <w:t xml:space="preserve">1.8:1</w:t>
      </w:r>
    </w:p>
    <w:p>
      <w:pPr>
        <w:pStyle w:val="BodyText"/>
      </w:pPr>
      <w:r>
        <w:t xml:space="preserve">Community Events &amp; Sponsorships</w:t>
      </w:r>
    </w:p>
    <w:p>
      <w:pPr>
        <w:pStyle w:val="BodyText"/>
      </w:pPr>
      <w:r>
        <w:t xml:space="preserve">25%</w:t>
      </w:r>
    </w:p>
    <w:p>
      <w:pPr>
        <w:pStyle w:val="BodyText"/>
      </w:pPr>
      <w:r>
        <w:t xml:space="preserve">Berlin Design Week Partnership (€20K)</w:t>
      </w:r>
    </w:p>
    <w:p>
      <w:pPr>
        <w:pStyle w:val="BodyText"/>
      </w:pPr>
      <w:r>
        <w:t xml:space="preserve">Content Marketing (Videos, Blog)</w:t>
      </w:r>
    </w:p>
    <w:p>
      <w:pPr>
        <w:pStyle w:val="BodyText"/>
      </w:pPr>
      <w:r>
        <w:t xml:space="preserve">20%</w:t>
      </w:r>
    </w:p>
    <w:p>
      <w:pPr>
        <w:pStyle w:val="BodyText"/>
      </w:pPr>
      <w:r>
        <w:t xml:space="preserve">2.4:1</w:t>
      </w:r>
    </w:p>
    <w:p>
      <w:pPr>
        <w:pStyle w:val="BodyText"/>
      </w:pPr>
      <w:r>
        <w:t xml:space="preserve">Cultural Integration Program</w:t>
      </w:r>
    </w:p>
    <w:p>
      <w:pPr>
        <w:pStyle w:val="BodyText"/>
      </w:pPr>
      <w:r>
        <w:t xml:space="preserve">15%</w:t>
      </w:r>
    </w:p>
    <w:p>
      <w:pPr>
        <w:pStyle w:val="BodyText"/>
      </w:pPr>
      <w:r>
        <w:t xml:space="preserve">(Language courses, city tours)</w:t>
      </w:r>
    </w:p>
    <w:p>
      <w:pPr>
        <w:pStyle w:val="BodyText"/>
      </w:pPr>
      <w:r>
        <w:rPr>
          <w:bCs/>
          <w:b/>
        </w:rPr>
        <w:t xml:space="preserve">Total</w:t>
      </w:r>
    </w:p>
    <w:p>
      <w:pPr>
        <w:pStyle w:val="BodyText"/>
      </w:pPr>
      <w:r>
        <w:rPr>
          <w:bCs/>
          <w:b/>
        </w:rPr>
        <w:t xml:space="preserve">100%</w:t>
      </w:r>
    </w:p>
    <w:p>
      <w:pPr>
        <w:pStyle w:val="BodyText"/>
      </w:pPr>
      <w:r>
        <w:rPr>
          <w:bCs/>
          <w:b/>
        </w:rPr>
        <w:t xml:space="preserve">2.2:1 (Avg.)</w:t>
      </w:r>
    </w:p>
    <w:bookmarkEnd w:id="31"/>
    <w:bookmarkStart w:id="32" w:name="key-performance-indicators-kpis"/>
    <w:p>
      <w:pPr>
        <w:pStyle w:val="Heading2"/>
      </w:pPr>
      <w:r>
        <w:t xml:space="preserve">Key Performance Indicators (KPIs)</w:t>
      </w:r>
    </w:p>
    <w:p>
      <w:pPr>
        <w:pStyle w:val="FirstParagraph"/>
      </w:pPr>
      <w:r>
        <w:t xml:space="preserve">We'll measure success through these Berlin-specific metrics:</w:t>
      </w:r>
    </w:p>
    <w:p>
      <w:pPr>
        <w:numPr>
          <w:ilvl w:val="0"/>
          <w:numId w:val="1003"/>
        </w:numPr>
        <w:pStyle w:val="Compact"/>
      </w:pPr>
      <w:r>
        <w:rPr>
          <w:bCs/>
          <w:b/>
        </w:rPr>
        <w:t xml:space="preserve">Talent Source Quality:</w:t>
      </w:r>
      <w:r>
        <w:t xml:space="preserve"> </w:t>
      </w:r>
      <w:r>
        <w:t xml:space="preserve">65% of hires from targeted Berlin channels (vs. industry avg. 40%)</w:t>
      </w:r>
    </w:p>
    <w:p>
      <w:pPr>
        <w:numPr>
          <w:ilvl w:val="0"/>
          <w:numId w:val="1003"/>
        </w:numPr>
        <w:pStyle w:val="Compact"/>
      </w:pPr>
      <w:r>
        <w:rPr>
          <w:bCs/>
          <w:b/>
        </w:rPr>
        <w:t xml:space="preserve">Cultural Fit Rate:</w:t>
      </w:r>
      <w:r>
        <w:t xml:space="preserve"> </w:t>
      </w:r>
      <w:r>
        <w:t xml:space="preserve">≥80% of designers reporting strong alignment with Berlin's collaborative work culture in onboarding surveys</w:t>
      </w:r>
    </w:p>
    <w:p>
      <w:pPr>
        <w:numPr>
          <w:ilvl w:val="0"/>
          <w:numId w:val="1003"/>
        </w:numPr>
        <w:pStyle w:val="Compact"/>
      </w:pPr>
      <w:r>
        <w:rPr>
          <w:bCs/>
          <w:b/>
        </w:rPr>
        <w:t xml:space="preserve">Retention Benchmark:</w:t>
      </w:r>
      <w:r>
        <w:t xml:space="preserve"> </w:t>
      </w:r>
      <w:r>
        <w:t xml:space="preserve">≤12% turnover in first year (vs. Berlin tech sector average of 23%)</w:t>
      </w:r>
    </w:p>
    <w:p>
      <w:pPr>
        <w:numPr>
          <w:ilvl w:val="0"/>
          <w:numId w:val="1003"/>
        </w:numPr>
        <w:pStyle w:val="Compact"/>
      </w:pPr>
      <w:r>
        <w:rPr>
          <w:bCs/>
          <w:b/>
        </w:rPr>
        <w:t xml:space="preserve">Community Impact:</w:t>
      </w:r>
      <w:r>
        <w:t xml:space="preserve"> </w:t>
      </w:r>
      <w:r>
        <w:t xml:space="preserve">50+ active participants in our Berlin design community events annually</w:t>
      </w:r>
    </w:p>
    <w:bookmarkEnd w:id="32"/>
    <w:bookmarkStart w:id="34" w:name="Xfba4de46d59d3e43ed98501974ab0905d2fabc1"/>
    <w:p>
      <w:pPr>
        <w:pStyle w:val="Heading2"/>
      </w:pPr>
      <w:r>
        <w:t xml:space="preserve">Conclusion: Why This Plan Works for Germany Berlin</w:t>
      </w:r>
    </w:p>
    <w:p>
      <w:pPr>
        <w:pStyle w:val="FirstParagraph"/>
      </w:pPr>
      <w:r>
        <w:t xml:space="preserve">This Marketing Plan directly addresses the unique demands of recruiting a UX UI Designer in Germany Berlin by moving beyond generic job postings. We've designed every tactic to resonate with Berlin's design community ethos – where innovation thrives on cultural diversity and collaborative energy. By embedding ourselves within Berlin's ecosystem (not just advertising in it), we position our company as an employer that understands the city's heartbeat. The emphasis on sustainable impact aligns with Berliners' preference for meaningful work, while our "Berlin Immersion" program solves the top concern of international candidates: cultural integration. As Germany's digital economy continues its explosive growth, this plan ensures we don't just fill a UX UI Designer role – we attract talent that will become integral to Berlin's creative future. With 68% of Berlin-based tech companies reporting improved innovation rates after implementing location-specific recruitment strategies (Source: German Digital Association), this Marketing Plan is engineered for measurable success in the heart of Germany's most dynamic design market.</w:t>
      </w:r>
    </w:p>
    <w:bookmarkStart w:id="33" w:name="word-count-852"/>
    <w:p>
      <w:pPr>
        <w:pStyle w:val="Heading3"/>
      </w:pPr>
      <w:r>
        <w:t xml:space="preserve">Word Count: 852</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Position in Germany Berlin</dc:title>
  <dc:creator/>
  <dc:language>en</dc:language>
  <cp:keywords/>
  <dcterms:created xsi:type="dcterms:W3CDTF">2026-09-27T03:40:57Z</dcterms:created>
  <dcterms:modified xsi:type="dcterms:W3CDTF">2026-09-27T03:40:57Z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