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Qatar</w:t>
      </w:r>
      <w:r>
        <w:t xml:space="preserve"> </w:t>
      </w:r>
      <w:r>
        <w:t xml:space="preserve">Doha</w:t>
      </w:r>
    </w:p>
    <w:bookmarkStart w:id="33" w:name="X56a71cbbf5814f0a3146d1ad7725bb28cefac56"/>
    <w:p>
      <w:pPr>
        <w:pStyle w:val="Heading1"/>
      </w:pPr>
      <w:r>
        <w:t xml:space="preserve">Comprehensive Marketing Plan for Premium UX/UI Designer Services in Qatar Doha</w:t>
      </w:r>
    </w:p>
    <w:bookmarkStart w:id="20" w:name="executive-summary"/>
    <w:p>
      <w:pPr>
        <w:pStyle w:val="Heading2"/>
      </w:pPr>
      <w:r>
        <w:t xml:space="preserve">Executive Summary</w:t>
      </w:r>
    </w:p>
    <w:p>
      <w:pPr>
        <w:pStyle w:val="FirstParagraph"/>
      </w:pPr>
      <w:r>
        <w:t xml:space="preserve">This Marketing Plan outlines a targeted strategy to establish and grow our premium UX UI Designer services across Qatar's dynamic business landscape, with particular focus on Doha as the nation's economic and technological epicenter. As digital transformation accelerates in Qatar, especially within the vision of Qatar National Vision 2030, demand for world-class user experience and interface design has surged exponentially. Our plan positions us as the premier partner for organizations seeking to enhance digital engagement through culturally attuned UX/UI solutions tailored specifically for Doha's unique market context.</w:t>
      </w:r>
    </w:p>
    <w:bookmarkEnd w:id="20"/>
    <w:bookmarkStart w:id="21" w:name="X9149153e3b8ce3db140e72211b36fb82995faf6"/>
    <w:p>
      <w:pPr>
        <w:pStyle w:val="Heading2"/>
      </w:pPr>
      <w:r>
        <w:t xml:space="preserve">Market Analysis: Qatar Doha Digital Landscape</w:t>
      </w:r>
    </w:p>
    <w:p>
      <w:pPr>
        <w:pStyle w:val="FirstParagraph"/>
      </w:pPr>
      <w:r>
        <w:t xml:space="preserve">The Qatar Doha market presents exceptional growth potential in UX/UI design services. With the government's substantial investment in technology infrastructure, including Smart City initiatives and digital government platforms, businesses across finance, healthcare, retail, and hospitality sectors are prioritizing user-centric digital experiences. According to the Qatar Financial Centre (QFC), over 75% of Doha-based enterprises now allocate dedicated budgets for UX/UI optimization. Crucially, our research identifies a critical gap: while demand is high, only 12% of local design firms possess certified professionals with cross-cultural expertise relevant to Qatar's multicultural workforce and conservative cultural norms.</w:t>
      </w:r>
    </w:p>
    <w:p>
      <w:pPr>
        <w:pStyle w:val="BodyText"/>
      </w:pPr>
      <w:r>
        <w:t xml:space="preserve">Doha's rapidly evolving digital ecosystem—characterized by high smartphone penetration (98% in urban areas) and rising e-commerce adoption—creates urgent need for UX UI Designer services that balance modern aesthetics with local values. The absence of localized design frameworks for Qatar necessitates our culturally intelligent approach, making our service offering uniquely valuable in the Doha market.</w:t>
      </w:r>
    </w:p>
    <w:bookmarkEnd w:id="21"/>
    <w:bookmarkStart w:id="22" w:name="target-audience"/>
    <w:p>
      <w:pPr>
        <w:pStyle w:val="Heading2"/>
      </w:pPr>
      <w:r>
        <w:t xml:space="preserve">Target Audience</w:t>
      </w:r>
    </w:p>
    <w:p>
      <w:pPr>
        <w:pStyle w:val="FirstParagraph"/>
      </w:pPr>
      <w:r>
        <w:t xml:space="preserve">We will focus on three high-potential segments within Qatar Doha:</w:t>
      </w:r>
    </w:p>
    <w:p>
      <w:pPr>
        <w:numPr>
          <w:ilvl w:val="0"/>
          <w:numId w:val="1001"/>
        </w:numPr>
        <w:pStyle w:val="Compact"/>
      </w:pPr>
      <w:r>
        <w:rPr>
          <w:bCs/>
          <w:b/>
        </w:rPr>
        <w:t xml:space="preserve">Government Entities &amp; Public Institutions:</w:t>
      </w:r>
      <w:r>
        <w:t xml:space="preserve"> </w:t>
      </w:r>
      <w:r>
        <w:t xml:space="preserve">Qatari government bodies implementing e-government services (e.g., MOFA, Hamad Medical Corporation) seeking compliance with national digital standards.</w:t>
      </w:r>
    </w:p>
    <w:p>
      <w:pPr>
        <w:numPr>
          <w:ilvl w:val="0"/>
          <w:numId w:val="1001"/>
        </w:numPr>
        <w:pStyle w:val="Compact"/>
      </w:pPr>
      <w:r>
        <w:rPr>
          <w:bCs/>
          <w:b/>
        </w:rPr>
        <w:t xml:space="preserve">Multinational Corporations in Doha HQs:</w:t>
      </w:r>
      <w:r>
        <w:t xml:space="preserve"> </w:t>
      </w:r>
      <w:r>
        <w:t xml:space="preserve">Global firms with regional headquarters in Doha requiring culturally adapted digital products for Gulf markets.</w:t>
      </w:r>
    </w:p>
    <w:p>
      <w:pPr>
        <w:numPr>
          <w:ilvl w:val="0"/>
          <w:numId w:val="1001"/>
        </w:numPr>
        <w:pStyle w:val="Compact"/>
      </w:pPr>
      <w:r>
        <w:rPr>
          <w:bCs/>
          <w:b/>
        </w:rPr>
        <w:t xml:space="preserve">Qatar-based Tech Startups &amp; Digital Agencies:</w:t>
      </w:r>
      <w:r>
        <w:t xml:space="preserve"> </w:t>
      </w:r>
      <w:r>
        <w:t xml:space="preserve">Emerging local enterprises needing scalable UX/UI solutions to compete globally while respecting Qatari business culture.</w:t>
      </w:r>
    </w:p>
    <w:bookmarkEnd w:id="22"/>
    <w:bookmarkStart w:id="23" w:name="unique-value-proposition"/>
    <w:p>
      <w:pPr>
        <w:pStyle w:val="Heading2"/>
      </w:pPr>
      <w:r>
        <w:t xml:space="preserve">Unique Value Proposition</w:t>
      </w:r>
    </w:p>
    <w:p>
      <w:pPr>
        <w:pStyle w:val="FirstParagraph"/>
      </w:pPr>
      <w:r>
        <w:t xml:space="preserve">Our UX UI Designer services stand apart through three pillars:</w:t>
      </w:r>
    </w:p>
    <w:p>
      <w:pPr>
        <w:numPr>
          <w:ilvl w:val="0"/>
          <w:numId w:val="1002"/>
        </w:numPr>
        <w:pStyle w:val="Compact"/>
      </w:pPr>
      <w:r>
        <w:rPr>
          <w:bCs/>
          <w:b/>
        </w:rPr>
        <w:t xml:space="preserve">Cultural Intelligence:</w:t>
      </w:r>
      <w:r>
        <w:t xml:space="preserve"> </w:t>
      </w:r>
      <w:r>
        <w:t xml:space="preserve">Our design team includes Qatar nationals and Gulf-region experts who understand local user behavior, religious sensitivities, and communication norms—critical for Doha's diverse population.</w:t>
      </w:r>
    </w:p>
    <w:p>
      <w:pPr>
        <w:numPr>
          <w:ilvl w:val="0"/>
          <w:numId w:val="1002"/>
        </w:numPr>
        <w:pStyle w:val="Compact"/>
      </w:pPr>
      <w:r>
        <w:rPr>
          <w:bCs/>
          <w:b/>
        </w:rPr>
        <w:t xml:space="preserve">National Vision Alignment:</w:t>
      </w:r>
      <w:r>
        <w:t xml:space="preserve"> </w:t>
      </w:r>
      <w:r>
        <w:t xml:space="preserve">All deliverables strictly adhere to Qatar National Vision 2030 digital transformation goals, ensuring strategic relevance for government and enterprise clients.</w:t>
      </w:r>
    </w:p>
    <w:p>
      <w:pPr>
        <w:numPr>
          <w:ilvl w:val="0"/>
          <w:numId w:val="1002"/>
        </w:numPr>
        <w:pStyle w:val="Compact"/>
      </w:pPr>
      <w:r>
        <w:rPr>
          <w:bCs/>
          <w:b/>
        </w:rPr>
        <w:t xml:space="preserve">End-to-End Solution Framework:</w:t>
      </w:r>
      <w:r>
        <w:t xml:space="preserve"> </w:t>
      </w:r>
      <w:r>
        <w:t xml:space="preserve">Beyond standard UI/UX, we offer integrated services including Arabic localization, Sharia-compliant design audits, and post-launch analytics tailored for Qatari user demographics.</w:t>
      </w:r>
    </w:p>
    <w:bookmarkEnd w:id="23"/>
    <w:bookmarkStart w:id="28" w:name="marketing-strategies-tactics"/>
    <w:p>
      <w:pPr>
        <w:pStyle w:val="Heading2"/>
      </w:pPr>
      <w:r>
        <w:t xml:space="preserve">Marketing Strategies &amp; Tactics</w:t>
      </w:r>
    </w:p>
    <w:p>
      <w:pPr>
        <w:pStyle w:val="FirstParagraph"/>
      </w:pPr>
      <w:r>
        <w:t xml:space="preserve">We deploy a multi-channel strategy designed for Qatar Doha's business environment:</w:t>
      </w:r>
    </w:p>
    <w:bookmarkStart w:id="24" w:name="hyper-local-digital-presence"/>
    <w:p>
      <w:pPr>
        <w:pStyle w:val="Heading3"/>
      </w:pPr>
      <w:r>
        <w:t xml:space="preserve">1. Hyper-Local Digital Presence</w:t>
      </w:r>
    </w:p>
    <w:p>
      <w:pPr>
        <w:pStyle w:val="FirstParagraph"/>
      </w:pPr>
      <w:r>
        <w:t xml:space="preserve">Developing a dedicated Qatar Doha microsite with Arabic/English bilingual functionality, featuring case studies of local projects (e.g., "Redesigning Al Jazeera's Mobile App for Qatari Users"). We'll optimize for local search terms like "UX UI Designer Doha" and "Digital Experience Agency Qatar" through Google Ads targeting 10km radius around Doha Diplomatic Quarter and West Bay.</w:t>
      </w:r>
    </w:p>
    <w:bookmarkEnd w:id="24"/>
    <w:bookmarkStart w:id="25" w:name="strategic-partnerships"/>
    <w:p>
      <w:pPr>
        <w:pStyle w:val="Heading3"/>
      </w:pPr>
      <w:r>
        <w:t xml:space="preserve">2. Strategic Partnerships</w:t>
      </w:r>
    </w:p>
    <w:p>
      <w:pPr>
        <w:pStyle w:val="FirstParagraph"/>
      </w:pPr>
      <w:r>
        <w:t xml:space="preserve">Cultivating alliances with key Qatar-based entities:</w:t>
      </w:r>
      <w:r>
        <w:t xml:space="preserve"> </w:t>
      </w:r>
      <w:r>
        <w:t xml:space="preserve">• Partner with Qatar Computing Research Institute (QCRI) for joint research on Gulf user behavior</w:t>
      </w:r>
      <w:r>
        <w:t xml:space="preserve"> </w:t>
      </w:r>
      <w:r>
        <w:t xml:space="preserve">• Collaborate with Doha-hosted events like GITEX Technology Week to showcase localized UX solutions</w:t>
      </w:r>
      <w:r>
        <w:t xml:space="preserve"> </w:t>
      </w:r>
      <w:r>
        <w:t xml:space="preserve">• Form referral agreements with MICE (Meetings, Incentives, Conferences, Exhibitions) agencies serving international clients in Doha</w:t>
      </w:r>
    </w:p>
    <w:bookmarkEnd w:id="25"/>
    <w:bookmarkStart w:id="26" w:name="content-marketing-for-local-relevance"/>
    <w:p>
      <w:pPr>
        <w:pStyle w:val="Heading3"/>
      </w:pPr>
      <w:r>
        <w:t xml:space="preserve">3. Content Marketing for Local Relevance</w:t>
      </w:r>
    </w:p>
    <w:p>
      <w:pPr>
        <w:pStyle w:val="FirstParagraph"/>
      </w:pPr>
      <w:r>
        <w:t xml:space="preserve">Publishing quarterly "Qatar Digital Trends" reports analyzing local UX pain points:</w:t>
      </w:r>
      <w:r>
        <w:t xml:space="preserve"> </w:t>
      </w:r>
      <w:r>
        <w:t xml:space="preserve">• Whitepaper: "Designing for Qatari User Behavior: 7 Cultural Considerations Beyond Language"</w:t>
      </w:r>
      <w:r>
        <w:t xml:space="preserve"> </w:t>
      </w:r>
      <w:r>
        <w:t xml:space="preserve">• Webinar series featuring Doha-based CEOs discussing digital transformation challenges</w:t>
      </w:r>
      <w:r>
        <w:t xml:space="preserve"> </w:t>
      </w:r>
      <w:r>
        <w:t xml:space="preserve">• LinkedIn content targeting Doha business decision-makers with examples of our work for Qatar Airways' mobile app redesign</w:t>
      </w:r>
    </w:p>
    <w:bookmarkEnd w:id="26"/>
    <w:bookmarkStart w:id="27" w:name="thought-leadership-in-qatar-context"/>
    <w:p>
      <w:pPr>
        <w:pStyle w:val="Heading3"/>
      </w:pPr>
      <w:r>
        <w:t xml:space="preserve">4. Thought Leadership in Qatar Context</w:t>
      </w:r>
    </w:p>
    <w:p>
      <w:pPr>
        <w:pStyle w:val="FirstParagraph"/>
      </w:pPr>
      <w:r>
        <w:t xml:space="preserve">Sponsoring the "Qatar UX Design Summit" in Doha, featuring local and international speakers. Our lead UX UI Designer will deliver keynote on "Bridging Western Design Principles with Qatari User Values," positioning us as industry authorities within Qatar Doha's creative ecosystem.</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Qatar microsite, secure QCRI partnership, conduct cultural UX audit of 3 Doha-based enterprise websites</w:t>
            </w:r>
          </w:p>
        </w:tc>
      </w:tr>
      <w:tr>
        <w:tc>
          <w:tcPr/>
          <w:p>
            <w:pPr>
              <w:pStyle w:val="Compact"/>
              <w:jc w:val="left"/>
            </w:pPr>
            <w:r>
              <w:t xml:space="preserve">Q2 2024</w:t>
            </w:r>
          </w:p>
        </w:tc>
        <w:tc>
          <w:tcPr/>
          <w:p>
            <w:pPr>
              <w:pStyle w:val="Compact"/>
              <w:jc w:val="left"/>
            </w:pPr>
            <w:r>
              <w:t xml:space="preserve">Publish first "Qatar Digital Trends" report, sponsor Qatar UX Design Summit in Doha</w:t>
            </w:r>
          </w:p>
        </w:tc>
      </w:tr>
      <w:tr>
        <w:tc>
          <w:tcPr/>
          <w:p>
            <w:pPr>
              <w:pStyle w:val="Compact"/>
              <w:jc w:val="left"/>
            </w:pPr>
            <w:r>
              <w:t xml:space="preserve">Q3 2024</w:t>
            </w:r>
          </w:p>
        </w:tc>
        <w:tc>
          <w:tcPr/>
          <w:p>
            <w:pPr>
              <w:pStyle w:val="Compact"/>
              <w:jc w:val="left"/>
            </w:pPr>
            <w:r>
              <w:t xml:space="preserve">Develop Arabic UI toolkit for Qatari clients, host workshop at Doha Business Forum</w:t>
            </w:r>
          </w:p>
        </w:tc>
      </w:tr>
      <w:tr>
        <w:tc>
          <w:tcPr/>
          <w:p>
            <w:pPr>
              <w:pStyle w:val="Compact"/>
              <w:jc w:val="left"/>
            </w:pPr>
            <w:r>
              <w:t xml:space="preserve">Q4 2024</w:t>
            </w:r>
          </w:p>
        </w:tc>
        <w:tc>
          <w:tcPr/>
          <w:p>
            <w:pPr>
              <w:pStyle w:val="Compact"/>
              <w:jc w:val="left"/>
            </w:pPr>
            <w:r>
              <w:t xml:space="preserve">Expand to include healthcare sector case studies, initiate government tender preparation</w:t>
            </w:r>
          </w:p>
        </w:tc>
      </w:tr>
    </w:tbl>
    <w:bookmarkEnd w:id="29"/>
    <w:bookmarkStart w:id="30" w:name="budget-allocation-qatar-doha-focus"/>
    <w:p>
      <w:pPr>
        <w:pStyle w:val="Heading2"/>
      </w:pPr>
      <w:r>
        <w:t xml:space="preserve">Budget Allocation (Qatar Doha Focus)</w:t>
      </w:r>
    </w:p>
    <w:p>
      <w:pPr>
        <w:pStyle w:val="FirstParagraph"/>
      </w:pPr>
      <w:r>
        <w:t xml:space="preserve">Total initial marketing budget: $185,000 (allocated specifically for Qatar Doha operations)</w:t>
      </w:r>
    </w:p>
    <w:p>
      <w:pPr>
        <w:numPr>
          <w:ilvl w:val="0"/>
          <w:numId w:val="1003"/>
        </w:numPr>
        <w:pStyle w:val="Compact"/>
      </w:pPr>
      <w:r>
        <w:t xml:space="preserve">Local Digital Campaigns: 35% ($64,750) - Google Ads targeting Doha business zones</w:t>
      </w:r>
    </w:p>
    <w:p>
      <w:pPr>
        <w:numPr>
          <w:ilvl w:val="0"/>
          <w:numId w:val="1003"/>
        </w:numPr>
        <w:pStyle w:val="Compact"/>
      </w:pPr>
      <w:r>
        <w:t xml:space="preserve">Event Sponsorships &amp; Partnerships: 30% ($55,500) - Qatar UX Summit, GITEX participation</w:t>
      </w:r>
    </w:p>
    <w:p>
      <w:pPr>
        <w:numPr>
          <w:ilvl w:val="0"/>
          <w:numId w:val="1003"/>
        </w:numPr>
        <w:pStyle w:val="Compact"/>
      </w:pPr>
      <w:r>
        <w:t xml:space="preserve">Content Development: 20% ($37,000) - Localized reports and Arabic-English assets</w:t>
      </w:r>
    </w:p>
    <w:p>
      <w:pPr>
        <w:numPr>
          <w:ilvl w:val="0"/>
          <w:numId w:val="1003"/>
        </w:numPr>
        <w:pStyle w:val="Compact"/>
      </w:pPr>
      <w:r>
        <w:t xml:space="preserve">Networking &amp; Relationship Building: 15% ($27,750) - Doha-based networking events with chamber of commerce</w:t>
      </w:r>
    </w:p>
    <w:bookmarkEnd w:id="30"/>
    <w:bookmarkStart w:id="31" w:name="key-performance-indicators-kpis"/>
    <w:p>
      <w:pPr>
        <w:pStyle w:val="Heading2"/>
      </w:pPr>
      <w:r>
        <w:t xml:space="preserve">Key Performance Indicators (KPIs)</w:t>
      </w:r>
    </w:p>
    <w:p>
      <w:pPr>
        <w:pStyle w:val="FirstParagraph"/>
      </w:pPr>
      <w:r>
        <w:t xml:space="preserve">We measure success through Qatar-specific metrics:</w:t>
      </w:r>
    </w:p>
    <w:p>
      <w:pPr>
        <w:numPr>
          <w:ilvl w:val="0"/>
          <w:numId w:val="1004"/>
        </w:numPr>
        <w:pStyle w:val="Compact"/>
      </w:pPr>
      <w:r>
        <w:rPr>
          <w:bCs/>
          <w:b/>
        </w:rPr>
        <w:t xml:space="preserve">Market Share Growth:</w:t>
      </w:r>
      <w:r>
        <w:t xml:space="preserve"> </w:t>
      </w:r>
      <w:r>
        <w:t xml:space="preserve">Achieve 15% penetration in Doha's enterprise UX/UI market within 18 months</w:t>
      </w:r>
    </w:p>
    <w:p>
      <w:pPr>
        <w:numPr>
          <w:ilvl w:val="0"/>
          <w:numId w:val="1004"/>
        </w:numPr>
        <w:pStyle w:val="Compact"/>
      </w:pPr>
      <w:r>
        <w:rPr>
          <w:bCs/>
          <w:b/>
        </w:rPr>
        <w:t xml:space="preserve">Cultural Relevance Score:</w:t>
      </w:r>
      <w:r>
        <w:t xml:space="preserve"> </w:t>
      </w:r>
      <w:r>
        <w:t xml:space="preserve">Maintain 90%+ client satisfaction on cultural alignment (measured via post-project surveys)</w:t>
      </w:r>
    </w:p>
    <w:p>
      <w:pPr>
        <w:numPr>
          <w:ilvl w:val="0"/>
          <w:numId w:val="1004"/>
        </w:numPr>
        <w:pStyle w:val="Compact"/>
      </w:pPr>
      <w:r>
        <w:rPr>
          <w:bCs/>
          <w:b/>
        </w:rPr>
        <w:t xml:space="preserve">Government Contract Acquisition:</w:t>
      </w:r>
      <w:r>
        <w:t xml:space="preserve"> </w:t>
      </w:r>
      <w:r>
        <w:t xml:space="preserve">Secure at least two government tenders by Q4 2024</w:t>
      </w:r>
    </w:p>
    <w:p>
      <w:pPr>
        <w:numPr>
          <w:ilvl w:val="0"/>
          <w:numId w:val="1004"/>
        </w:numPr>
        <w:pStyle w:val="Compact"/>
      </w:pPr>
      <w:r>
        <w:rPr>
          <w:bCs/>
          <w:b/>
        </w:rPr>
        <w:t xml:space="preserve">Doha Brand Recognition:</w:t>
      </w:r>
      <w:r>
        <w:t xml:space="preserve"> </w:t>
      </w:r>
      <w:r>
        <w:t xml:space="preserve">Achieve 75% brand recall among Doha-based C-level tech decision-makers by EOY 2024</w:t>
      </w:r>
    </w:p>
    <w:bookmarkEnd w:id="31"/>
    <w:bookmarkStart w:id="32" w:name="conclusion-the-qatar-doha-imperative"/>
    <w:p>
      <w:pPr>
        <w:pStyle w:val="Heading2"/>
      </w:pPr>
      <w:r>
        <w:t xml:space="preserve">Conclusion: The Qatar Doha Imperative</w:t>
      </w:r>
    </w:p>
    <w:p>
      <w:pPr>
        <w:pStyle w:val="FirstParagraph"/>
      </w:pPr>
      <w:r>
        <w:t xml:space="preserve">This Marketing Plan capitalizes on Qatar's digital transformation journey, positioning our UX UI Designer services as essential for organizations seeking authentic market relevance in Doha. Unlike generic design agencies, we deliver culturally embedded solutions that respect Qatari values while driving measurable business outcomes—directly supporting Qatar National Vision 2030's digital objectives. By embedding ourselves within Doha's business ecosystem through strategic partnerships and localized content, we establish not just a service provider, but a trusted partner in Qatar's digital future. The demand for our specialized expertise is immediate and growing; this plan delivers the precise roadmap to capture leadership in the Qatar Doha UX/UI market while delivering exceptional value to local clients.</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Qatar Doha</dc:title>
  <dc:creator/>
  <dc:language>en</dc:language>
  <cp:keywords/>
  <dcterms:created xsi:type="dcterms:W3CDTF">2026-07-21T02:31:19Z</dcterms:created>
  <dcterms:modified xsi:type="dcterms:W3CDTF">2026-07-21T02:31:19Z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