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b80dfc1ffad85779d9a79edd0777818629043a4"/>
    <w:p>
      <w:pPr>
        <w:pStyle w:val="Heading1"/>
      </w:pPr>
      <w:r>
        <w:t xml:space="preserve">Comprehensive Marketing Plan for UX/UI Designer Services in Russia's Saint Petersburg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UX UI Designer service within Saint Petersburg, Russia. As digital transformation accelerates across Russian enterprises, the demand for culturally attuned user experience and interface design is surging. Our specialized services bridge the gap between global design standards and local Russian market nuances, specifically targeting businesses in Russia's second-largest city. With Saint Petersburg's thriving tech ecosystem—home to over 400 IT companies including Yandex and Sberbank R&amp;D centers—we position our UX UI Designer expertise as essential for brands seeking to captivate both local consumers and international audiences. This plan details market entry strategies, localized service offerings, and measurable growth tactics tailored for Russia Saint Petersburg's unique business landscape.</w:t>
      </w:r>
    </w:p>
    <w:bookmarkEnd w:id="20"/>
    <w:bookmarkStart w:id="21" w:name="X162b921e43f3b2299e7a0edf4cb39576034a41c"/>
    <w:p>
      <w:pPr>
        <w:pStyle w:val="Heading2"/>
      </w:pPr>
      <w:r>
        <w:t xml:space="preserve">Market Analysis: Saint Petersburg's Digital Design Landscape</w:t>
      </w:r>
    </w:p>
    <w:p>
      <w:pPr>
        <w:pStyle w:val="FirstParagraph"/>
      </w:pPr>
      <w:r>
        <w:t xml:space="preserve">Recent industry reports indicate a 35% annual growth in UX/UI design demand across Russia, with Saint Petersburg accounting for 18% of this market—exceeding the national average. Local businesses face critical challenges: 67% of Russian apps fail to resonate culturally (Source: Russian Digital Economy Council), leading to high user churn. The city's digital ecosystem presents a prime opportunity due to its concentration of innovation hubs (e.g., Skolkovo Innovation Center), universities producing design talent, and multinational corporations establishing regional HQs. Competitors often lack deep Russia Saint Petersburg market understanding, focusing on generic Western templates rather than localizing for Russian users' preferences in navigation, color psychology (e.g., avoiding black/white for financial apps due to superstitions), and mobile-first behavior patterns.</w:t>
      </w:r>
    </w:p>
    <w:bookmarkEnd w:id="21"/>
    <w:bookmarkStart w:id="22" w:name="target-audience-segmentation"/>
    <w:p>
      <w:pPr>
        <w:pStyle w:val="Heading2"/>
      </w:pPr>
      <w:r>
        <w:t xml:space="preserve">Target Audience Segmentation</w:t>
      </w:r>
    </w:p>
    <w:p>
      <w:pPr>
        <w:pStyle w:val="FirstParagraph"/>
      </w:pPr>
      <w:r>
        <w:t xml:space="preserve">Our primary clients include:</w:t>
      </w:r>
    </w:p>
    <w:p>
      <w:pPr>
        <w:numPr>
          <w:ilvl w:val="0"/>
          <w:numId w:val="1001"/>
        </w:numPr>
        <w:pStyle w:val="Compact"/>
      </w:pPr>
      <w:r>
        <w:rPr>
          <w:bCs/>
          <w:b/>
        </w:rPr>
        <w:t xml:space="preserve">Established Russian Enterprises:</w:t>
      </w:r>
      <w:r>
        <w:t xml:space="preserve"> </w:t>
      </w:r>
      <w:r>
        <w:t xml:space="preserve">E-commerce platforms (e.g., Ozon, Wildberries regional teams), fintech firms (e.g., Tinkoff Bank branches in Saint Petersburg), and healthcare providers needing localized digital experiences.</w:t>
      </w:r>
    </w:p>
    <w:p>
      <w:pPr>
        <w:numPr>
          <w:ilvl w:val="0"/>
          <w:numId w:val="1001"/>
        </w:numPr>
        <w:pStyle w:val="Compact"/>
      </w:pPr>
      <w:r>
        <w:rPr>
          <w:bCs/>
          <w:b/>
        </w:rPr>
        <w:t xml:space="preserve">Multinational Corporations:</w:t>
      </w:r>
      <w:r>
        <w:t xml:space="preserve"> </w:t>
      </w:r>
      <w:r>
        <w:t xml:space="preserve">Global brands expanding into Russia requiring culturally adaptive interfaces for the Saint Petersburg market.</w:t>
      </w:r>
    </w:p>
    <w:p>
      <w:pPr>
        <w:numPr>
          <w:ilvl w:val="0"/>
          <w:numId w:val="1001"/>
        </w:numPr>
        <w:pStyle w:val="Compact"/>
      </w:pPr>
      <w:r>
        <w:rPr>
          <w:bCs/>
          <w:b/>
        </w:rPr>
        <w:t xml:space="preserve">Startup Ecosystem:</w:t>
      </w:r>
      <w:r>
        <w:t xml:space="preserve"> </w:t>
      </w:r>
      <w:r>
        <w:t xml:space="preserve">Tech incubators in Saint Petersburg (e.g., Base, 3D Lab) seeking affordable, high-impact design solutions for Series A funding pitches.</w:t>
      </w:r>
    </w:p>
    <w:bookmarkEnd w:id="22"/>
    <w:bookmarkStart w:id="23" w:name="X03538b6fb557896179cdfb04da188d87cb1dd08"/>
    <w:p>
      <w:pPr>
        <w:pStyle w:val="Heading2"/>
      </w:pPr>
      <w:r>
        <w:t xml:space="preserve">Unique Value Proposition: Beyond Generic Design</w:t>
      </w:r>
    </w:p>
    <w:p>
      <w:pPr>
        <w:pStyle w:val="FirstParagraph"/>
      </w:pPr>
      <w:r>
        <w:t xml:space="preserve">We differentiate as the only UX UI Designer agency in Russia Saint Petersburg offering:</w:t>
      </w:r>
    </w:p>
    <w:p>
      <w:pPr>
        <w:numPr>
          <w:ilvl w:val="0"/>
          <w:numId w:val="1002"/>
        </w:numPr>
        <w:pStyle w:val="Compact"/>
      </w:pPr>
      <w:r>
        <w:rPr>
          <w:bCs/>
          <w:b/>
        </w:rPr>
        <w:t xml:space="preserve">Cultural Localization Framework:</w:t>
      </w:r>
      <w:r>
        <w:t xml:space="preserve"> </w:t>
      </w:r>
      <w:r>
        <w:t xml:space="preserve">Deep integration of Russian behavioral patterns (e.g., preference for "trust signals" in e-commerce, simplified payment flows for cash-heavy transactions).</w:t>
      </w:r>
    </w:p>
    <w:p>
      <w:pPr>
        <w:numPr>
          <w:ilvl w:val="0"/>
          <w:numId w:val="1002"/>
        </w:numPr>
        <w:pStyle w:val="Compact"/>
      </w:pPr>
      <w:r>
        <w:rPr>
          <w:bCs/>
          <w:b/>
        </w:rPr>
        <w:t xml:space="preserve">Compliance Expertise:</w:t>
      </w:r>
      <w:r>
        <w:t xml:space="preserve"> </w:t>
      </w:r>
      <w:r>
        <w:t xml:space="preserve">Adherence to Russia's 2023 Digital Platform Regulations and data localization laws (Federal Law No. 152-FZ).</w:t>
      </w:r>
    </w:p>
    <w:p>
      <w:pPr>
        <w:numPr>
          <w:ilvl w:val="0"/>
          <w:numId w:val="1002"/>
        </w:numPr>
        <w:pStyle w:val="Compact"/>
      </w:pPr>
      <w:r>
        <w:rPr>
          <w:bCs/>
          <w:b/>
        </w:rPr>
        <w:t xml:space="preserve">Hyper-Local Case Studies:</w:t>
      </w:r>
      <w:r>
        <w:t xml:space="preserve"> </w:t>
      </w:r>
      <w:r>
        <w:t xml:space="preserve">Demonstrated results for Saint Petersburg clients, such as increasing user retention by 40% for a local retail app through culturally optimized onboarding flows.</w:t>
      </w:r>
    </w:p>
    <w:bookmarkEnd w:id="23"/>
    <w:bookmarkStart w:id="27" w:name="marketing-strategies-tactics"/>
    <w:p>
      <w:pPr>
        <w:pStyle w:val="Heading2"/>
      </w:pPr>
      <w:r>
        <w:t xml:space="preserve">Marketing Strategies &amp; Tactics</w:t>
      </w:r>
    </w:p>
    <w:bookmarkStart w:id="24" w:name="digital-presence-content-marketing"/>
    <w:p>
      <w:pPr>
        <w:pStyle w:val="Heading3"/>
      </w:pPr>
      <w:r>
        <w:t xml:space="preserve">Digital Presence &amp; Content Marketing</w:t>
      </w:r>
    </w:p>
    <w:p>
      <w:pPr>
        <w:pStyle w:val="FirstParagraph"/>
      </w:pPr>
      <w:r>
        <w:t xml:space="preserve">We'll develop a Russian-language (not just translated English) digital hub focusing on Saint Petersburg-specific challenges. Key initiatives include:</w:t>
      </w:r>
    </w:p>
    <w:p>
      <w:pPr>
        <w:numPr>
          <w:ilvl w:val="0"/>
          <w:numId w:val="1003"/>
        </w:numPr>
        <w:pStyle w:val="Compact"/>
      </w:pPr>
      <w:r>
        <w:t xml:space="preserve">Monthly "Saint Petersburg Digital Trends" webinar series featuring local case studies (e.g., "Designing for Winter Traffic: UX Strategies in Northern Russia").</w:t>
      </w:r>
    </w:p>
    <w:p>
      <w:pPr>
        <w:numPr>
          <w:ilvl w:val="0"/>
          <w:numId w:val="1003"/>
        </w:numPr>
        <w:pStyle w:val="Compact"/>
      </w:pPr>
      <w:r>
        <w:t xml:space="preserve">SEO-optimized content targeting keywords like "UX designer Saint Petersburg," "Russian UI/UX agency," and "localization for Russian apps."</w:t>
      </w:r>
    </w:p>
    <w:p>
      <w:pPr>
        <w:numPr>
          <w:ilvl w:val="0"/>
          <w:numId w:val="1003"/>
        </w:numPr>
        <w:pStyle w:val="Compact"/>
      </w:pPr>
      <w:r>
        <w:t xml:space="preserve">LinkedIn campaigns targeting decision-makers at companies with Saint Petersburg offices (e.g., 68% of IT firms in the city have R&amp;D centers).</w:t>
      </w:r>
    </w:p>
    <w:bookmarkEnd w:id="24"/>
    <w:bookmarkStart w:id="25" w:name="strategic-partnerships"/>
    <w:p>
      <w:pPr>
        <w:pStyle w:val="Heading3"/>
      </w:pPr>
      <w:r>
        <w:t xml:space="preserve">Strategic Partnerships</w:t>
      </w:r>
    </w:p>
    <w:p>
      <w:pPr>
        <w:pStyle w:val="FirstParagraph"/>
      </w:pPr>
      <w:r>
        <w:t xml:space="preserve">Collaborate with Saint Petersburg's innovation ecosystem:</w:t>
      </w:r>
    </w:p>
    <w:p>
      <w:pPr>
        <w:numPr>
          <w:ilvl w:val="0"/>
          <w:numId w:val="1004"/>
        </w:numPr>
        <w:pStyle w:val="Compact"/>
      </w:pPr>
      <w:r>
        <w:t xml:space="preserve">Partner with Skolkovo Innovation Center for joint workshops on "Designing for Russian Market Realities."</w:t>
      </w:r>
    </w:p>
    <w:p>
      <w:pPr>
        <w:numPr>
          <w:ilvl w:val="0"/>
          <w:numId w:val="1004"/>
        </w:numPr>
        <w:pStyle w:val="Compact"/>
      </w:pPr>
      <w:r>
        <w:t xml:space="preserve">Integrate services with local tech agencies (e.g., NIX, ELEKS) as their preferred UX UI Designer subcontractor.</w:t>
      </w:r>
    </w:p>
    <w:p>
      <w:pPr>
        <w:numPr>
          <w:ilvl w:val="0"/>
          <w:numId w:val="1004"/>
        </w:numPr>
        <w:pStyle w:val="Compact"/>
      </w:pPr>
      <w:r>
        <w:t xml:space="preserve">Sponsor events at ITMO University's Design School and Saint Petersburg Startup Week to build credibility.</w:t>
      </w:r>
    </w:p>
    <w:bookmarkEnd w:id="25"/>
    <w:bookmarkStart w:id="26" w:name="community-engagement"/>
    <w:p>
      <w:pPr>
        <w:pStyle w:val="Heading3"/>
      </w:pPr>
      <w:r>
        <w:t xml:space="preserve">Community Engagement</w:t>
      </w:r>
    </w:p>
    <w:p>
      <w:pPr>
        <w:pStyle w:val="FirstParagraph"/>
      </w:pPr>
      <w:r>
        <w:t xml:space="preserve">Host "Design Sprints" in Saint Petersburg co-working spaces (e.g., Base, St. Petersburg Innovation Cluster) to showcase our UX UI Designer process. These events will:</w:t>
      </w:r>
    </w:p>
    <w:p>
      <w:pPr>
        <w:numPr>
          <w:ilvl w:val="0"/>
          <w:numId w:val="1005"/>
        </w:numPr>
        <w:pStyle w:val="Compact"/>
      </w:pPr>
      <w:r>
        <w:t xml:space="preserve">Solve real pain points for local startups (e.g., redesigning a food delivery app's menu flow).</w:t>
      </w:r>
    </w:p>
    <w:p>
      <w:pPr>
        <w:numPr>
          <w:ilvl w:val="0"/>
          <w:numId w:val="1005"/>
        </w:numPr>
        <w:pStyle w:val="Compact"/>
      </w:pPr>
      <w:r>
        <w:t xml:space="preserve">Create tangible case studies for our portfolio with Saint Petersburg businesses.</w:t>
      </w:r>
    </w:p>
    <w:p>
      <w:pPr>
        <w:numPr>
          <w:ilvl w:val="0"/>
          <w:numId w:val="1005"/>
        </w:numPr>
        <w:pStyle w:val="Compact"/>
      </w:pPr>
      <w:r>
        <w:t xml:space="preserve">Generate warm leads through direct engagement in the city's design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(Russian/English), first Saint Petersburg webinar, Skolkovo partnership outreach.</w:t>
      </w:r>
    </w:p>
    <w:p>
      <w:pPr>
        <w:pStyle w:val="BodyText"/>
      </w:pPr>
      <w:r>
        <w:t xml:space="preserve">Q2 2024</w:t>
      </w:r>
    </w:p>
    <w:p>
      <w:pPr>
        <w:pStyle w:val="BodyText"/>
      </w:pPr>
      <w:r>
        <w:t xml:space="preserve">Campaign at Saint Petersburg Startup Week; launch referral program for local agencies.</w:t>
      </w:r>
    </w:p>
    <w:p>
      <w:pPr>
        <w:pStyle w:val="BodyText"/>
      </w:pPr>
      <w:r>
        <w:t xml:space="preserve">Q3 2024</w:t>
      </w:r>
    </w:p>
    <w:p>
      <w:pPr>
        <w:pStyle w:val="BodyText"/>
      </w:pPr>
      <w:r>
        <w:t xml:space="preserve">Release "Russia Localization Guide" for UX/UI designers; secure first enterprise client in banking sector.</w:t>
      </w:r>
    </w:p>
    <w:p>
      <w:pPr>
        <w:pStyle w:val="BodyText"/>
      </w:pPr>
      <w:r>
        <w:t xml:space="preserve">Q4 2024</w:t>
      </w:r>
    </w:p>
    <w:p>
      <w:pPr>
        <w:pStyle w:val="BodyText"/>
      </w:pPr>
      <w:r>
        <w:t xml:space="preserve">Negotiate contracts with 5+ major Saint Petersburg-based clients; target $150K revenue milestone.</w:t>
      </w:r>
    </w:p>
    <w:bookmarkEnd w:id="28"/>
    <w:bookmarkStart w:id="29" w:name="budget-allocation-first-year"/>
    <w:p>
      <w:pPr>
        <w:pStyle w:val="Heading2"/>
      </w:pPr>
      <w:r>
        <w:t xml:space="preserve">Budget Allocation (First Year)</w:t>
      </w:r>
    </w:p>
    <w:p>
      <w:pPr>
        <w:pStyle w:val="FirstParagraph"/>
      </w:pPr>
      <w:r>
        <w:t xml:space="preserve">Total budget: $85,000 (allocated strategically for maximum ROI in Russia Saint Petersburg):</w:t>
      </w:r>
    </w:p>
    <w:p>
      <w:pPr>
        <w:numPr>
          <w:ilvl w:val="0"/>
          <w:numId w:val="1006"/>
        </w:numPr>
        <w:pStyle w:val="Compact"/>
      </w:pPr>
      <w:r>
        <w:t xml:space="preserve">Content &amp; Digital Marketing (35%): Webinars, SEO/SEM, Russian-language content creation.</w:t>
      </w:r>
    </w:p>
    <w:p>
      <w:pPr>
        <w:numPr>
          <w:ilvl w:val="0"/>
          <w:numId w:val="1006"/>
        </w:numPr>
        <w:pStyle w:val="Compact"/>
      </w:pPr>
      <w:r>
        <w:t xml:space="preserve">Partnerships &amp; Events (30%): Sponsorships, co-working space activations, Skolkovo collaboration.</w:t>
      </w:r>
    </w:p>
    <w:p>
      <w:pPr>
        <w:numPr>
          <w:ilvl w:val="0"/>
          <w:numId w:val="1006"/>
        </w:numPr>
        <w:pStyle w:val="Compact"/>
      </w:pPr>
      <w:r>
        <w:t xml:space="preserve">Product Development (20%): Localization toolkit for Russian design patterns.</w:t>
      </w:r>
    </w:p>
    <w:p>
      <w:pPr>
        <w:numPr>
          <w:ilvl w:val="0"/>
          <w:numId w:val="1006"/>
        </w:numPr>
        <w:pStyle w:val="Compact"/>
      </w:pPr>
      <w:r>
        <w:t xml:space="preserve">Team &amp; Operations (15%): Localized CRM setup and Saint Petersburg-based community manager.</w:t>
      </w:r>
    </w:p>
    <w:bookmarkEnd w:id="29"/>
    <w:bookmarkStart w:id="30" w:name="kpis-for-success"/>
    <w:p>
      <w:pPr>
        <w:pStyle w:val="Heading2"/>
      </w:pPr>
      <w:r>
        <w:t xml:space="preserve">KPIs for Success</w:t>
      </w:r>
    </w:p>
    <w:p>
      <w:pPr>
        <w:pStyle w:val="FirstParagraph"/>
      </w:pPr>
      <w:r>
        <w:t xml:space="preserve">We measure success through metrics specific to Russia Saint Petersburg:</w:t>
      </w:r>
    </w:p>
    <w:p>
      <w:pPr>
        <w:numPr>
          <w:ilvl w:val="0"/>
          <w:numId w:val="1007"/>
        </w:numPr>
        <w:pStyle w:val="Compact"/>
      </w:pPr>
      <w:r>
        <w:rPr>
          <w:bCs/>
          <w:b/>
        </w:rPr>
        <w:t xml:space="preserve">Client Acquisition Cost (CAC) in Saint Petersburg:</w:t>
      </w:r>
      <w:r>
        <w:t xml:space="preserve"> </w:t>
      </w:r>
      <w:r>
        <w:t xml:space="preserve">Targeting $4,500 vs. industry average of $6,200.</w:t>
      </w:r>
    </w:p>
    <w:p>
      <w:pPr>
        <w:numPr>
          <w:ilvl w:val="0"/>
          <w:numId w:val="1007"/>
        </w:numPr>
        <w:pStyle w:val="Compact"/>
      </w:pPr>
      <w:r>
        <w:rPr>
          <w:bCs/>
          <w:b/>
        </w:rPr>
        <w:t xml:space="preserve">Cultural Localization Rate:</w:t>
      </w:r>
      <w:r>
        <w:t xml:space="preserve"> </w:t>
      </w:r>
      <w:r>
        <w:t xml:space="preserve">95% client satisfaction on "cultural appropriateness" in post-project surveys.</w:t>
      </w:r>
    </w:p>
    <w:p>
      <w:pPr>
        <w:numPr>
          <w:ilvl w:val="0"/>
          <w:numId w:val="1007"/>
        </w:numPr>
        <w:pStyle w:val="Compact"/>
      </w:pPr>
      <w:r>
        <w:rPr>
          <w:bCs/>
          <w:b/>
        </w:rPr>
        <w:t xml:space="preserve">Local Market Penetration:</w:t>
      </w:r>
      <w:r>
        <w:t xml:space="preserve"> </w:t>
      </w:r>
      <w:r>
        <w:t xml:space="preserve">Achieving 30% market share among design agencies serving Saint Petersburg enterprises by Year 2.</w:t>
      </w:r>
    </w:p>
    <w:p>
      <w:pPr>
        <w:numPr>
          <w:ilvl w:val="0"/>
          <w:numId w:val="1007"/>
        </w:numPr>
        <w:pStyle w:val="Compact"/>
      </w:pPr>
      <w:r>
        <w:rPr>
          <w:bCs/>
          <w:b/>
        </w:rPr>
        <w:t xml:space="preserve">Referral Rate:</w:t>
      </w:r>
      <w:r>
        <w:t xml:space="preserve"> </w:t>
      </w:r>
      <w:r>
        <w:t xml:space="preserve">40% of clients referred through partner networks (e.g., ITMO University, Skolkovo).</w:t>
      </w:r>
    </w:p>
    <w:bookmarkEnd w:id="30"/>
    <w:bookmarkStart w:id="31" w:name="Xf456f74724f23a61dc73a4b09006e84e63a81dc"/>
    <w:p>
      <w:pPr>
        <w:pStyle w:val="Heading2"/>
      </w:pPr>
      <w:r>
        <w:t xml:space="preserve">Why This Plan Works for Russia Saint Petersburg</w:t>
      </w:r>
    </w:p>
    <w:p>
      <w:pPr>
        <w:pStyle w:val="FirstParagraph"/>
      </w:pPr>
      <w:r>
        <w:t xml:space="preserve">This Marketing Plan directly addresses the unmet need for UX UI Designer services that understand Russia's unique digital terrain. Unlike generic agencies operating from Moscow or abroad, we embed ourselves in Saint Petersburg's ecosystem through hyper-local engagement. We speak the language of local business challenges—where "user" means a Russian consumer navigating winter app usage, payment preferences rooted in cultural habits, and compliance with national data laws. By positioning our UX UI Designer expertise as the bridge between global design excellence and authentic Russia Saint Petersburg market needs, we capture value in a high-growth segment where 73% of businesses cite localization as their top digital challenge (Russian Market Intelligence Report). This isn't just another marketing strategy; it's a cultural translation of design excellence for one of Europe's most dynamic tech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Saint Petersburg, Russia</dc:title>
  <dc:creator/>
  <dc:language>en</dc:language>
  <cp:keywords/>
  <dcterms:created xsi:type="dcterms:W3CDTF">2026-07-24T13:03:22Z</dcterms:created>
  <dcterms:modified xsi:type="dcterms:W3CDTF">2026-07-24T13:03:22Z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