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Russia</w:t>
      </w:r>
      <w:r>
        <w:t xml:space="preserve"> </w:t>
      </w:r>
      <w:r>
        <w:t xml:space="preserve">Moscow</w:t>
      </w:r>
    </w:p>
    <w:bookmarkStart w:id="34" w:name="X0be34a3404e267ce50663fec70b65dff27f7807"/>
    <w:p>
      <w:pPr>
        <w:pStyle w:val="Heading1"/>
      </w:pPr>
      <w:r>
        <w:t xml:space="preserve">Comprehensive Marketing Plan for Premium Industrial Welder Launch in Russia Moscow</w:t>
      </w:r>
    </w:p>
    <w:bookmarkStart w:id="20" w:name="executive-summary"/>
    <w:p>
      <w:pPr>
        <w:pStyle w:val="Heading2"/>
      </w:pPr>
      <w:r>
        <w:t xml:space="preserve">Executive Summary</w:t>
      </w:r>
    </w:p>
    <w:p>
      <w:pPr>
        <w:pStyle w:val="FirstParagraph"/>
      </w:pPr>
      <w:r>
        <w:t xml:space="preserve">This Marketing Plan outlines the strategic entry of our advanced industrial welder, "TitanArc Pro," into the competitive Russian market with a specific focus on Moscow. As Russia's economic capital and manufacturing hub, Moscow represents a $450M+ annual market for industrial welding equipment. Our research indicates a critical gap in high-precision, cold-climate optimized welders capable of handling Russia's demanding infrastructure projects. This Marketing Plan details our 18-month roadmap to capture 12% market share in Moscow by Q4 2025 through targeted product adaptation, localized distribution, and culturally resonant promotion.</w:t>
      </w:r>
    </w:p>
    <w:bookmarkEnd w:id="20"/>
    <w:bookmarkStart w:id="21" w:name="market-analysis-russia-moscow-context"/>
    <w:p>
      <w:pPr>
        <w:pStyle w:val="Heading2"/>
      </w:pPr>
      <w:r>
        <w:t xml:space="preserve">Market Analysis: Russia Moscow Context</w:t>
      </w:r>
    </w:p>
    <w:p>
      <w:pPr>
        <w:pStyle w:val="FirstParagraph"/>
      </w:pPr>
      <w:r>
        <w:t xml:space="preserve">The Russian welding equipment market is experiencing 7.3% CAGR growth (IBISWorld 2023), driven by Moscow's $18B+ construction boom (including metro expansions, industrial parks, and energy infrastructure). However, current solutions fail in sub-zero conditions—83% of existing welders suffer performance degradation below -15°C. The Moscow market is particularly challenging due to:</w:t>
      </w:r>
    </w:p>
    <w:p>
      <w:pPr>
        <w:numPr>
          <w:ilvl w:val="0"/>
          <w:numId w:val="1001"/>
        </w:numPr>
        <w:pStyle w:val="Compact"/>
      </w:pPr>
      <w:r>
        <w:t xml:space="preserve">Seasonal demand spikes during 6-month construction season (April-October)</w:t>
      </w:r>
    </w:p>
    <w:p>
      <w:pPr>
        <w:numPr>
          <w:ilvl w:val="0"/>
          <w:numId w:val="1001"/>
        </w:numPr>
        <w:pStyle w:val="Compact"/>
      </w:pPr>
      <w:r>
        <w:t xml:space="preserve">Heavy regulatory requirements for industrial equipment (GOST R certification)</w:t>
      </w:r>
    </w:p>
    <w:p>
      <w:pPr>
        <w:numPr>
          <w:ilvl w:val="0"/>
          <w:numId w:val="1001"/>
        </w:numPr>
        <w:pStyle w:val="Compact"/>
      </w:pPr>
      <w:r>
        <w:t xml:space="preserve">Preference for German/Japanese brands among Russian engineers</w:t>
      </w:r>
    </w:p>
    <w:bookmarkEnd w:id="21"/>
    <w:bookmarkStart w:id="22" w:name="Xc620c085d4df0505b16cdaedf27b884885af699"/>
    <w:p>
      <w:pPr>
        <w:pStyle w:val="Heading2"/>
      </w:pPr>
      <w:r>
        <w:t xml:space="preserve">Target Audience: Moscow Industrial Professionals</w:t>
      </w:r>
    </w:p>
    <w:p>
      <w:pPr>
        <w:pStyle w:val="FirstParagraph"/>
      </w:pPr>
      <w:r>
        <w:t xml:space="preserve">We focus on three high-value segments in Russia Moscow:</w:t>
      </w:r>
    </w:p>
    <w:p>
      <w:pPr>
        <w:numPr>
          <w:ilvl w:val="0"/>
          <w:numId w:val="1002"/>
        </w:numPr>
        <w:pStyle w:val="Compact"/>
      </w:pPr>
      <w:r>
        <w:rPr>
          <w:bCs/>
          <w:b/>
        </w:rPr>
        <w:t xml:space="preserve">Metro Construction Firms</w:t>
      </w:r>
      <w:r>
        <w:t xml:space="preserve">: 18+ projects in Moscow requiring daily welding of rail components (e.g., Metrostroy, Stroytransgaz)</w:t>
      </w:r>
    </w:p>
    <w:p>
      <w:pPr>
        <w:numPr>
          <w:ilvl w:val="0"/>
          <w:numId w:val="1002"/>
        </w:numPr>
        <w:pStyle w:val="Compact"/>
      </w:pPr>
      <w:r>
        <w:rPr>
          <w:bCs/>
          <w:b/>
        </w:rPr>
        <w:t xml:space="preserve">Oil &amp; Gas Refineries</w:t>
      </w:r>
      <w:r>
        <w:t xml:space="preserve">: Major facilities near Moscow (Lukoil, Gazprom) needing pipeline welders for Arctic-grade steel</w:t>
      </w:r>
    </w:p>
    <w:p>
      <w:pPr>
        <w:numPr>
          <w:ilvl w:val="0"/>
          <w:numId w:val="1002"/>
        </w:numPr>
        <w:pStyle w:val="Compact"/>
      </w:pPr>
      <w:r>
        <w:rPr>
          <w:bCs/>
          <w:b/>
        </w:rPr>
        <w:t xml:space="preserve">Heavy Equipment Manufacturers</w:t>
      </w:r>
      <w:r>
        <w:t xml:space="preserve">: 120+ factories producing machinery for Russian Defense Ministry contracts</w:t>
      </w:r>
    </w:p>
    <w:p>
      <w:pPr>
        <w:pStyle w:val="FirstParagraph"/>
      </w:pPr>
      <w:r>
        <w:t xml:space="preserve">These professionals prioritize durability in extreme conditions, technical support availability, and cost efficiency—core strengths of our welder.</w:t>
      </w:r>
    </w:p>
    <w:bookmarkEnd w:id="22"/>
    <w:bookmarkStart w:id="23" w:name="product-strategy-russia-adapted-welder"/>
    <w:p>
      <w:pPr>
        <w:pStyle w:val="Heading2"/>
      </w:pPr>
      <w:r>
        <w:t xml:space="preserve">Product Strategy: Russia-Adapted Welder</w:t>
      </w:r>
    </w:p>
    <w:p>
      <w:pPr>
        <w:pStyle w:val="FirstParagraph"/>
      </w:pPr>
      <w:r>
        <w:t xml:space="preserve">The TitanArc Pro is not just a standard welder—it's engineered for Russia Moscow's unique challenges:</w:t>
      </w:r>
    </w:p>
    <w:p>
      <w:pPr>
        <w:numPr>
          <w:ilvl w:val="0"/>
          <w:numId w:val="1003"/>
        </w:numPr>
        <w:pStyle w:val="Compact"/>
      </w:pPr>
      <w:r>
        <w:rPr>
          <w:bCs/>
          <w:b/>
        </w:rPr>
        <w:t xml:space="preserve">Extreme Temperature Performance</w:t>
      </w:r>
      <w:r>
        <w:t xml:space="preserve">: Operates reliably at -30°C (tested per GOST R 50916-2017)</w:t>
      </w:r>
    </w:p>
    <w:p>
      <w:pPr>
        <w:numPr>
          <w:ilvl w:val="0"/>
          <w:numId w:val="1003"/>
        </w:numPr>
        <w:pStyle w:val="Compact"/>
      </w:pPr>
      <w:r>
        <w:rPr>
          <w:bCs/>
          <w:b/>
        </w:rPr>
        <w:t xml:space="preserve">Localized Service Network</w:t>
      </w:r>
      <w:r>
        <w:t xml:space="preserve">: Pre-installed Russian-language diagnostics interface; 8 service centers planned across Moscow by Q2 2024</w:t>
      </w:r>
    </w:p>
    <w:p>
      <w:pPr>
        <w:numPr>
          <w:ilvl w:val="0"/>
          <w:numId w:val="1003"/>
        </w:numPr>
        <w:pStyle w:val="Compact"/>
      </w:pPr>
      <w:r>
        <w:rPr>
          <w:bCs/>
          <w:b/>
        </w:rPr>
        <w:t xml:space="preserve">Compliance-Centric Design</w:t>
      </w:r>
      <w:r>
        <w:t xml:space="preserve">: Certified for Russian energy standards (GOST R 51913-96) with mandatory CE markings</w:t>
      </w:r>
    </w:p>
    <w:p>
      <w:pPr>
        <w:pStyle w:val="FirstParagraph"/>
      </w:pPr>
      <w:r>
        <w:t xml:space="preserve">This strategic adaptation transforms our welder from a generic tool into a necessity for Moscow's industrial ecosystem.</w:t>
      </w:r>
    </w:p>
    <w:bookmarkEnd w:id="23"/>
    <w:bookmarkStart w:id="24" w:name="marketing-objectives-russia-moscow-focus"/>
    <w:p>
      <w:pPr>
        <w:pStyle w:val="Heading2"/>
      </w:pPr>
      <w:r>
        <w:t xml:space="preserve">Marketing Objectives (Russia Moscow Focus)</w:t>
      </w:r>
    </w:p>
    <w:p>
      <w:pPr>
        <w:numPr>
          <w:ilvl w:val="0"/>
          <w:numId w:val="1004"/>
        </w:numPr>
        <w:pStyle w:val="Compact"/>
      </w:pPr>
      <w:r>
        <w:t xml:space="preserve">Secure 15+ contracts with top Moscow metro construction firms within 9 months</w:t>
      </w:r>
    </w:p>
    <w:p>
      <w:pPr>
        <w:numPr>
          <w:ilvl w:val="0"/>
          <w:numId w:val="1004"/>
        </w:numPr>
        <w:pStyle w:val="Compact"/>
      </w:pPr>
      <w:r>
        <w:t xml:space="preserve">Achieve 30% brand recognition among Russian welders in Moscow by Q3 2024</w:t>
      </w:r>
    </w:p>
    <w:p>
      <w:pPr>
        <w:numPr>
          <w:ilvl w:val="0"/>
          <w:numId w:val="1004"/>
        </w:numPr>
        <w:pStyle w:val="Compact"/>
      </w:pPr>
      <w:r>
        <w:t xml:space="preserve">Attain $8.2M revenue from Russia Moscow operations by Year 2 (15% of total global sales)</w:t>
      </w:r>
    </w:p>
    <w:bookmarkEnd w:id="24"/>
    <w:bookmarkStart w:id="29" w:name="marketing-mix-the-4ps-for-russia-moscow"/>
    <w:p>
      <w:pPr>
        <w:pStyle w:val="Heading2"/>
      </w:pPr>
      <w:r>
        <w:t xml:space="preserve">Marketing Mix: The 4Ps for Russia Moscow</w:t>
      </w:r>
    </w:p>
    <w:bookmarkStart w:id="25" w:name="product"/>
    <w:p>
      <w:pPr>
        <w:pStyle w:val="Heading3"/>
      </w:pPr>
      <w:r>
        <w:t xml:space="preserve">Product</w:t>
      </w:r>
    </w:p>
    <w:p>
      <w:pPr>
        <w:pStyle w:val="FirstParagraph"/>
      </w:pPr>
      <w:r>
        <w:t xml:space="preserve">The TitanArc Pro features a proprietary anti-freeze cooling system tested in Siberian conditions—critical for maintaining weld quality during Moscow's winter construction phases. All packaging includes Russian technical manuals and GOST-compliant documentation.</w:t>
      </w:r>
    </w:p>
    <w:bookmarkEnd w:id="25"/>
    <w:bookmarkStart w:id="26" w:name="pricing"/>
    <w:p>
      <w:pPr>
        <w:pStyle w:val="Heading3"/>
      </w:pPr>
      <w:r>
        <w:t xml:space="preserve">Pricing</w:t>
      </w:r>
    </w:p>
    <w:p>
      <w:pPr>
        <w:pStyle w:val="FirstParagraph"/>
      </w:pPr>
      <w:r>
        <w:t xml:space="preserve">Positioned as premium but value-driven: $4,800 (12% below comparable German brands). We implement Russia Moscow-specific financing—6-month interest-free installments through local partners like Sberbank to overcome budget constraints in state-run projects.</w:t>
      </w:r>
    </w:p>
    <w:bookmarkEnd w:id="26"/>
    <w:bookmarkStart w:id="27" w:name="place"/>
    <w:p>
      <w:pPr>
        <w:pStyle w:val="Heading3"/>
      </w:pPr>
      <w:r>
        <w:t xml:space="preserve">Place</w:t>
      </w:r>
    </w:p>
    <w:p>
      <w:pPr>
        <w:pStyle w:val="FirstParagraph"/>
      </w:pPr>
      <w:r>
        <w:t xml:space="preserve">Exclusive distribution via Moscow-based industrial equipment specialists:</w:t>
      </w:r>
    </w:p>
    <w:p>
      <w:pPr>
        <w:numPr>
          <w:ilvl w:val="0"/>
          <w:numId w:val="1005"/>
        </w:numPr>
        <w:pStyle w:val="Compact"/>
      </w:pPr>
      <w:r>
        <w:t xml:space="preserve">Primary channel: Direct partnerships with 5 key distributors (e.g., PromStroyTechnika)</w:t>
      </w:r>
    </w:p>
    <w:p>
      <w:pPr>
        <w:numPr>
          <w:ilvl w:val="0"/>
          <w:numId w:val="1005"/>
        </w:numPr>
        <w:pStyle w:val="Compact"/>
      </w:pPr>
      <w:r>
        <w:t xml:space="preserve">Digital hub: Dedicated Russian-language e-commerce portal with live chat support for Moscow buyers</w:t>
      </w:r>
    </w:p>
    <w:p>
      <w:pPr>
        <w:numPr>
          <w:ilvl w:val="0"/>
          <w:numId w:val="1005"/>
        </w:numPr>
        <w:pStyle w:val="Compact"/>
      </w:pPr>
      <w:r>
        <w:t xml:space="preserve">On-ground presence: Pop-up demo zones at major Moscow construction exhibitions (e.g., EXPO-TECH 2024)</w:t>
      </w:r>
    </w:p>
    <w:bookmarkEnd w:id="27"/>
    <w:bookmarkStart w:id="28" w:name="promotion"/>
    <w:p>
      <w:pPr>
        <w:pStyle w:val="Heading3"/>
      </w:pPr>
      <w:r>
        <w:t xml:space="preserve">Promotion</w:t>
      </w:r>
    </w:p>
    <w:p>
      <w:pPr>
        <w:pStyle w:val="FirstParagraph"/>
      </w:pPr>
      <w:r>
        <w:t xml:space="preserve">Our integrated campaign leverages Moscow's industrial culture:</w:t>
      </w:r>
    </w:p>
    <w:p>
      <w:pPr>
        <w:numPr>
          <w:ilvl w:val="0"/>
          <w:numId w:val="1006"/>
        </w:numPr>
        <w:pStyle w:val="Compact"/>
      </w:pPr>
      <w:r>
        <w:rPr>
          <w:bCs/>
          <w:b/>
        </w:rPr>
        <w:t xml:space="preserve">Celebrity Engineer Endorsements</w:t>
      </w:r>
      <w:r>
        <w:t xml:space="preserve">: Partnering with prominent Moscow-based welding specialists (e.g., Vladimir Petrov of Metrostroy) for technical webinars</w:t>
      </w:r>
    </w:p>
    <w:p>
      <w:pPr>
        <w:numPr>
          <w:ilvl w:val="0"/>
          <w:numId w:val="1006"/>
        </w:numPr>
        <w:pStyle w:val="Compact"/>
      </w:pPr>
      <w:r>
        <w:rPr>
          <w:bCs/>
          <w:b/>
        </w:rPr>
        <w:t xml:space="preserve">Trade Show Dominance</w:t>
      </w:r>
      <w:r>
        <w:t xml:space="preserve">: 50% booth space at Moscow International Industrial Fair 2024 showcasing real-time welds in -20°C conditions</w:t>
      </w:r>
    </w:p>
    <w:p>
      <w:pPr>
        <w:numPr>
          <w:ilvl w:val="0"/>
          <w:numId w:val="1006"/>
        </w:numPr>
        <w:pStyle w:val="Compact"/>
      </w:pPr>
      <w:r>
        <w:rPr>
          <w:bCs/>
          <w:b/>
        </w:rPr>
        <w:t xml:space="preserve">Localized Social Media Strategy</w:t>
      </w:r>
      <w:r>
        <w:t xml:space="preserve">: YouTube tutorials in Russian with subtitles, targeting LinkedIn groups like "Moscow Metalworkers Association"</w:t>
      </w:r>
    </w:p>
    <w:p>
      <w:pPr>
        <w:numPr>
          <w:ilvl w:val="0"/>
          <w:numId w:val="1006"/>
        </w:numPr>
        <w:pStyle w:val="Compact"/>
      </w:pPr>
      <w:r>
        <w:rPr>
          <w:bCs/>
          <w:b/>
        </w:rPr>
        <w:t xml:space="preserve">Government Tender Support</w:t>
      </w:r>
      <w:r>
        <w:t xml:space="preserve">: Dedicated team assisting Moscow state projects with GOST certification documentation</w:t>
      </w:r>
    </w:p>
    <w:bookmarkEnd w:id="28"/>
    <w:bookmarkEnd w:id="29"/>
    <w:bookmarkStart w:id="30" w:name="X048e618b970c34ce1d34677d91b50ea7ec904f7"/>
    <w:p>
      <w:pPr>
        <w:pStyle w:val="Heading2"/>
      </w:pPr>
      <w:r>
        <w:t xml:space="preserve">Budget Allocation for Russia Moscow Launch</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Localized Product Adaptation</w:t>
      </w:r>
    </w:p>
    <w:p>
      <w:pPr>
        <w:pStyle w:val="BodyText"/>
      </w:pPr>
      <w:r>
        <w:t xml:space="preserve">28%</w:t>
      </w:r>
    </w:p>
    <w:p>
      <w:pPr>
        <w:pStyle w:val="BodyText"/>
      </w:pPr>
      <w:r>
        <w:t xml:space="preserve">Critical for GOST compliance and cold-weather performance in Russia Moscow</w:t>
      </w:r>
    </w:p>
    <w:p>
      <w:pPr>
        <w:pStyle w:val="BodyText"/>
      </w:pPr>
      <w:r>
        <w:t xml:space="preserve">Distribution Network Development</w:t>
      </w:r>
    </w:p>
    <w:p>
      <w:pPr>
        <w:pStyle w:val="BodyText"/>
      </w:pPr>
      <w:r>
        <w:t xml:space="preserve">32%</w:t>
      </w:r>
    </w:p>
    <w:p>
      <w:pPr>
        <w:pStyle w:val="BodyText"/>
      </w:pPr>
      <w:r>
        <w:t xml:space="preserve">Establishing service centers across Moscow to overcome logistical barriers</w:t>
      </w:r>
    </w:p>
    <w:p>
      <w:pPr>
        <w:pStyle w:val="BodyText"/>
      </w:pPr>
      <w:r>
        <w:t xml:space="preserve">Targeted Promotion (Moscow)</w:t>
      </w:r>
    </w:p>
    <w:p>
      <w:pPr>
        <w:pStyle w:val="BodyText"/>
      </w:pPr>
      <w:r>
        <w:t xml:space="preserve">25%</w:t>
      </w:r>
    </w:p>
    <w:p>
      <w:pPr>
        <w:pStyle w:val="BodyText"/>
      </w:pPr>
      <w:r>
        <w:t xml:space="preserve">Focused on high-impact industrial channels in Russia's capital</w:t>
      </w:r>
    </w:p>
    <w:p>
      <w:pPr>
        <w:pStyle w:val="BodyText"/>
      </w:pPr>
      <w:r>
        <w:t xml:space="preserve">Tender &amp; Government Relations</w:t>
      </w:r>
    </w:p>
    <w:p>
      <w:pPr>
        <w:pStyle w:val="BodyText"/>
      </w:pPr>
      <w:r>
        <w:t xml:space="preserve">15%</w:t>
      </w:r>
    </w:p>
    <w:p>
      <w:pPr>
        <w:pStyle w:val="BodyText"/>
      </w:pPr>
      <w:r>
        <w:t xml:space="preserve">Essential for securing Moscow municipal contracts</w:t>
      </w:r>
    </w:p>
    <w:bookmarkEnd w:id="30"/>
    <w:bookmarkStart w:id="31" w:name="Xbd236a9c5db84eb3ae122decd7974f830e0c190"/>
    <w:p>
      <w:pPr>
        <w:pStyle w:val="Heading2"/>
      </w:pPr>
      <w:r>
        <w:t xml:space="preserve">Implementation Timeline: Russia Moscow Focus</w:t>
      </w:r>
    </w:p>
    <w:p>
      <w:pPr>
        <w:pStyle w:val="FirstParagraph"/>
      </w:pPr>
      <w:r>
        <w:rPr>
          <w:bCs/>
          <w:b/>
        </w:rPr>
        <w:t xml:space="preserve">Months 1-3:</w:t>
      </w:r>
      <w:r>
        <w:t xml:space="preserve"> </w:t>
      </w:r>
      <w:r>
        <w:t xml:space="preserve">GOST certification completion; partner onboarding with 3 Moscow distributors.</w:t>
      </w:r>
    </w:p>
    <w:p>
      <w:pPr>
        <w:pStyle w:val="BodyText"/>
      </w:pPr>
      <w:r>
        <w:rPr>
          <w:bCs/>
          <w:b/>
        </w:rPr>
        <w:t xml:space="preserve">Months 4-6:</w:t>
      </w:r>
      <w:r>
        <w:t xml:space="preserve"> </w:t>
      </w:r>
      <w:r>
        <w:t xml:space="preserve">Launch "Winter Welding Challenge" trade show in Moscow; deploy first service centers.</w:t>
      </w:r>
    </w:p>
    <w:p>
      <w:pPr>
        <w:pStyle w:val="BodyText"/>
      </w:pPr>
      <w:r>
        <w:rPr>
          <w:bCs/>
          <w:b/>
        </w:rPr>
        <w:t xml:space="preserve">Months 7-12:</w:t>
      </w:r>
      <w:r>
        <w:t xml:space="preserve"> </w:t>
      </w:r>
      <w:r>
        <w:t xml:space="preserve">Secure metro construction contracts; expand to oil/gas sector with Gazprom partnerships.</w:t>
      </w:r>
    </w:p>
    <w:p>
      <w:pPr>
        <w:pStyle w:val="BodyText"/>
      </w:pPr>
      <w:r>
        <w:rPr>
          <w:bCs/>
          <w:b/>
        </w:rPr>
        <w:t xml:space="preserve">Year 2:</w:t>
      </w:r>
      <w:r>
        <w:t xml:space="preserve"> </w:t>
      </w:r>
      <w:r>
        <w:t xml:space="preserve">Target $8.2M revenue from Russia Moscow operations through scaled manufacturing in Kaluga (30km from Moscow).</w:t>
      </w:r>
    </w:p>
    <w:bookmarkEnd w:id="31"/>
    <w:bookmarkStart w:id="32" w:name="measurement-evaluation"/>
    <w:p>
      <w:pPr>
        <w:pStyle w:val="Heading2"/>
      </w:pPr>
      <w:r>
        <w:t xml:space="preserve">Measurement &amp; Evaluation</w:t>
      </w:r>
    </w:p>
    <w:p>
      <w:pPr>
        <w:pStyle w:val="FirstParagraph"/>
      </w:pPr>
      <w:r>
        <w:t xml:space="preserve">We track success through three Russia-specific KPIs:</w:t>
      </w:r>
    </w:p>
    <w:p>
      <w:pPr>
        <w:numPr>
          <w:ilvl w:val="0"/>
          <w:numId w:val="1007"/>
        </w:numPr>
        <w:pStyle w:val="Compact"/>
      </w:pPr>
      <w:r>
        <w:rPr>
          <w:bCs/>
          <w:b/>
        </w:rPr>
        <w:t xml:space="preserve">Moscow Market Share Growth:</w:t>
      </w:r>
      <w:r>
        <w:t xml:space="preserve"> </w:t>
      </w:r>
      <w:r>
        <w:t xml:space="preserve">Monthly tracking via industry reports (e.g., Russian Industrial Equipment Association)</w:t>
      </w:r>
    </w:p>
    <w:p>
      <w:pPr>
        <w:numPr>
          <w:ilvl w:val="0"/>
          <w:numId w:val="1007"/>
        </w:numPr>
        <w:pStyle w:val="Compact"/>
      </w:pPr>
      <w:r>
        <w:rPr>
          <w:bCs/>
          <w:b/>
        </w:rPr>
        <w:t xml:space="preserve">Service Response Time:</w:t>
      </w:r>
      <w:r>
        <w:t xml:space="preserve"> </w:t>
      </w:r>
      <w:r>
        <w:t xml:space="preserve">Target: &lt;24 hours for Moscow-based customers (vs. 72+ hours industry average)</w:t>
      </w:r>
    </w:p>
    <w:p>
      <w:pPr>
        <w:numPr>
          <w:ilvl w:val="0"/>
          <w:numId w:val="1007"/>
        </w:numPr>
        <w:pStyle w:val="Compact"/>
      </w:pPr>
      <w:r>
        <w:rPr>
          <w:bCs/>
          <w:b/>
        </w:rPr>
        <w:t xml:space="preserve">GOST Compliance Rate:</w:t>
      </w:r>
      <w:r>
        <w:t xml:space="preserve"> </w:t>
      </w:r>
      <w:r>
        <w:t xml:space="preserve">100% certification adherence to avoid project delays in Russia Moscow</w:t>
      </w:r>
    </w:p>
    <w:bookmarkEnd w:id="32"/>
    <w:bookmarkStart w:id="33" w:name="Xa9956555e459fd4fddf73dd69cb2b1868190362"/>
    <w:p>
      <w:pPr>
        <w:pStyle w:val="Heading2"/>
      </w:pPr>
      <w:r>
        <w:t xml:space="preserve">Conclusion: Why This Marketing Plan Wins in Russia Moscow</w:t>
      </w:r>
    </w:p>
    <w:p>
      <w:pPr>
        <w:pStyle w:val="FirstParagraph"/>
      </w:pPr>
      <w:r>
        <w:t xml:space="preserve">This Marketing Plan is not merely a sales strategy—it's an ecosystem solution engineered for Russia Moscow's industrial realities. By making the welder inherently "Moscow-ready" through climate resilience, regulatory mastery, and service infrastructure, we transform it from a commodity into an indispensable asset. The focus on metro projects (Russia's pride project) and strategic partnerships with state entities ensures sustainable market penetration where competitors fail. As we position our Welder as the engine powering Moscow's next-generation infrastructure, this Marketing Plan delivers unmatched relevance in Russia's most critical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Russia Moscow</dc:title>
  <dc:creator/>
  <dc:language>en</dc:language>
  <cp:keywords/>
  <dcterms:created xsi:type="dcterms:W3CDTF">2026-07-23T09:33:34Z</dcterms:created>
  <dcterms:modified xsi:type="dcterms:W3CDTF">2026-07-23T09:33:34Z</dcterms:modified>
</cp:coreProperties>
</file>

<file path=docProps/custom.xml><?xml version="1.0" encoding="utf-8"?>
<Properties xmlns="http://schemas.openxmlformats.org/officeDocument/2006/custom-properties" xmlns:vt="http://schemas.openxmlformats.org/officeDocument/2006/docPropsVTypes"/>
</file>