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Turkey</w:t>
      </w:r>
      <w:r>
        <w:t xml:space="preserve"> </w:t>
      </w:r>
      <w:r>
        <w:t xml:space="preserve">Istanbul</w:t>
      </w:r>
      <w:r>
        <w:t xml:space="preserve"> </w:t>
      </w:r>
      <w:r>
        <w:t xml:space="preserve">Market</w:t>
      </w:r>
    </w:p>
    <w:bookmarkStart w:id="32" w:name="X56e609f4becf7c1c462531aa6ecd2b1425da09a"/>
    <w:p>
      <w:pPr>
        <w:pStyle w:val="Heading1"/>
      </w:pPr>
      <w:r>
        <w:t xml:space="preserve">Marketing Plan: Introducing "Welder Pro Series" - Strategic Entry into Istanbul's Industrial Landscape</w:t>
      </w:r>
    </w:p>
    <w:bookmarkStart w:id="20" w:name="executive-summary"/>
    <w:p>
      <w:pPr>
        <w:pStyle w:val="Heading2"/>
      </w:pPr>
      <w:r>
        <w:t xml:space="preserve">Executive Summary</w:t>
      </w:r>
    </w:p>
    <w:p>
      <w:pPr>
        <w:pStyle w:val="FirstParagraph"/>
      </w:pPr>
      <w:r>
        <w:t xml:space="preserve">This comprehensive Marketing Plan outlines the strategy for launching the "Welder Pro Series" – a premium yet cost-efficient welding system – specifically tailored for Istanbul's dynamic industrial ecosystem. Targeting Turkey's largest economic hub, this plan leverages Istanbul's position as a global manufacturing and construction nexus, where demand for reliable welding solutions exceeds 18,000 units annually across shipbuilding, infrastructure projects (like the Istanbul Canal), and SME workshops. Our goal is to capture 12% market share within 24 months by integrating hyper-localized strategies that resonate with Istanbul's unique industrial culture and regulatory environment.</w:t>
      </w:r>
    </w:p>
    <w:bookmarkEnd w:id="20"/>
    <w:bookmarkStart w:id="21" w:name="market-analysis-turkey-istanbul-context"/>
    <w:p>
      <w:pPr>
        <w:pStyle w:val="Heading2"/>
      </w:pPr>
      <w:r>
        <w:t xml:space="preserve">Market Analysis: Turkey Istanbul Context</w:t>
      </w:r>
    </w:p>
    <w:p>
      <w:pPr>
        <w:pStyle w:val="FirstParagraph"/>
      </w:pPr>
      <w:r>
        <w:t xml:space="preserve">Istanbul’s industrial landscape presents unparalleled opportunity. As Turkey’s economic engine, it hosts 35% of the nation’s manufacturing output, with shipyards in Tuzla and Pendik driving 40% of regional welding equipment demand. The city's construction boom (projected $75B investment by 2025) further amplifies need for portable, durable welders. Crucially, Turkish industry prioritizes equipment compliance with TSE standards (Turkish Standards Institution) – a non-negotiable requirement absent in many international competitors' offerings. Our "Welder Pro Series" exceeds TSE 7167 and ISO 9001 benchmarks, positioning us as the only solution meeting local safety and quality mandates. Competitor analysis reveals a gap: global brands lack Istanbul-centric support (e.g., same-day technician response), while local suppliers offer outdated models. This creates a clear niche for our data-driven entry strategy.</w:t>
      </w:r>
    </w:p>
    <w:bookmarkEnd w:id="21"/>
    <w:bookmarkStart w:id="22" w:name="target-audience-segmentation"/>
    <w:p>
      <w:pPr>
        <w:pStyle w:val="Heading2"/>
      </w:pPr>
      <w:r>
        <w:t xml:space="preserve">Target Audience Segmentation</w:t>
      </w:r>
    </w:p>
    <w:p>
      <w:pPr>
        <w:pStyle w:val="FirstParagraph"/>
      </w:pPr>
      <w:r>
        <w:t xml:space="preserve">We define three high-potential segments within Turkey Istanbul:</w:t>
      </w:r>
    </w:p>
    <w:p>
      <w:pPr>
        <w:numPr>
          <w:ilvl w:val="0"/>
          <w:numId w:val="1001"/>
        </w:numPr>
        <w:pStyle w:val="Compact"/>
      </w:pPr>
      <w:r>
        <w:rPr>
          <w:bCs/>
          <w:b/>
        </w:rPr>
        <w:t xml:space="preserve">Industrial Manufacturers:</w:t>
      </w:r>
      <w:r>
        <w:t xml:space="preserve"> </w:t>
      </w:r>
      <w:r>
        <w:t xml:space="preserve">Shipbuilding giants (e.g., Tersan, Sefine), automotive suppliers, and machinery producers requiring heavy-duty welders for 24/7 operations. Budget: $5K–$15K per unit.</w:t>
      </w:r>
    </w:p>
    <w:p>
      <w:pPr>
        <w:numPr>
          <w:ilvl w:val="0"/>
          <w:numId w:val="1001"/>
        </w:numPr>
        <w:pStyle w:val="Compact"/>
      </w:pPr>
      <w:r>
        <w:rPr>
          <w:bCs/>
          <w:b/>
        </w:rPr>
        <w:t xml:space="preserve">Construction &amp; Infrastructure Firms:</w:t>
      </w:r>
      <w:r>
        <w:t xml:space="preserve"> </w:t>
      </w:r>
      <w:r>
        <w:t xml:space="preserve">Companies bidding on Istanbul Canal projects or metro expansions needing portable welders for urban environments. Budget: $3K–$8K.</w:t>
      </w:r>
    </w:p>
    <w:p>
      <w:pPr>
        <w:numPr>
          <w:ilvl w:val="0"/>
          <w:numId w:val="1001"/>
        </w:numPr>
        <w:pStyle w:val="Compact"/>
      </w:pPr>
      <w:r>
        <w:rPr>
          <w:bCs/>
          <w:b/>
        </w:rPr>
        <w:t xml:space="preserve">SME Workshops &amp; Repair Hubs:</w:t>
      </w:r>
      <w:r>
        <w:t xml:space="preserve"> </w:t>
      </w:r>
      <w:r>
        <w:t xml:space="preserve">12,000+ small workshops in Kadıköy, Ümraniye, and Beşiktaş prioritizing affordability (&lt;$3K) with local service access. This segment drives 65% of routine welding demand.</w:t>
      </w:r>
    </w:p>
    <w:bookmarkEnd w:id="22"/>
    <w:bookmarkStart w:id="23" w:name="X1e9f5502ade52712f006232c628d11b8fff83c8"/>
    <w:p>
      <w:pPr>
        <w:pStyle w:val="Heading2"/>
      </w:pPr>
      <w:r>
        <w:t xml:space="preserve">Value Proposition: Why "Welder Pro Series" for Istanbul?</w:t>
      </w:r>
    </w:p>
    <w:p>
      <w:pPr>
        <w:pStyle w:val="FirstParagraph"/>
      </w:pPr>
      <w:r>
        <w:t xml:space="preserve">Unlike generic welding equipment, our "Welder" delivers Istanbul-specific value:</w:t>
      </w:r>
    </w:p>
    <w:p>
      <w:pPr>
        <w:numPr>
          <w:ilvl w:val="0"/>
          <w:numId w:val="1002"/>
        </w:numPr>
        <w:pStyle w:val="Compact"/>
      </w:pPr>
      <w:r>
        <w:rPr>
          <w:bCs/>
          <w:b/>
        </w:rPr>
        <w:t xml:space="preserve">Turkish Language &amp; Support:</w:t>
      </w:r>
      <w:r>
        <w:t xml:space="preserve"> </w:t>
      </w:r>
      <w:r>
        <w:t xml:space="preserve">Full interface in Turkish, with 90% of technical staff based in Istanbul (Tuzla Service Center). Same-day emergency response guaranteed for all contracts.</w:t>
      </w:r>
    </w:p>
    <w:p>
      <w:pPr>
        <w:numPr>
          <w:ilvl w:val="0"/>
          <w:numId w:val="1002"/>
        </w:numPr>
        <w:pStyle w:val="Compact"/>
      </w:pPr>
      <w:r>
        <w:rPr>
          <w:bCs/>
          <w:b/>
        </w:rPr>
        <w:t xml:space="preserve">Climatic Adaptation:</w:t>
      </w:r>
      <w:r>
        <w:t xml:space="preserve"> </w:t>
      </w:r>
      <w:r>
        <w:t xml:space="preserve">Engineered for Istanbul’s high humidity and dust levels – a critical failure point for imported units. Features IP54 rating against salt-air corrosion.</w:t>
      </w:r>
    </w:p>
    <w:p>
      <w:pPr>
        <w:numPr>
          <w:ilvl w:val="0"/>
          <w:numId w:val="1002"/>
        </w:numPr>
        <w:pStyle w:val="Compact"/>
      </w:pPr>
      <w:r>
        <w:rPr>
          <w:bCs/>
          <w:b/>
        </w:rPr>
        <w:t xml:space="preserve">Cost Efficiency:</w:t>
      </w:r>
      <w:r>
        <w:t xml:space="preserve"> </w:t>
      </w:r>
      <w:r>
        <w:t xml:space="preserve">22% lower total cost of ownership vs. competitors through 3-year warranty (vs. industry average of 1 year) and local spare parts inventory at Istanbul warehouse.</w:t>
      </w:r>
    </w:p>
    <w:bookmarkEnd w:id="23"/>
    <w:bookmarkStart w:id="26" w:name="X29b68c7ce8f5aad56b4b8a0d1a867e373cfec9f"/>
    <w:p>
      <w:pPr>
        <w:pStyle w:val="Heading2"/>
      </w:pPr>
      <w:r>
        <w:t xml:space="preserve">Marketing Strategy: Hyper-Localized Execution</w:t>
      </w:r>
    </w:p>
    <w:p>
      <w:pPr>
        <w:pStyle w:val="FirstParagraph"/>
      </w:pPr>
      <w:r>
        <w:t xml:space="preserve">We deploy a multi-channel approach centered on Istanbul’s geographic and cultural reality:</w:t>
      </w:r>
    </w:p>
    <w:bookmarkStart w:id="24" w:name="product-pricing"/>
    <w:p>
      <w:pPr>
        <w:pStyle w:val="Heading3"/>
      </w:pPr>
      <w:r>
        <w:t xml:space="preserve">Product &amp; Pricing</w:t>
      </w:r>
    </w:p>
    <w:p>
      <w:pPr>
        <w:pStyle w:val="FirstParagraph"/>
      </w:pPr>
      <w:r>
        <w:t xml:space="preserve">The "Welder Pro Series" features three models:</w:t>
      </w:r>
      <w:r>
        <w:t xml:space="preserve"> </w:t>
      </w:r>
      <w:r>
        <w:t xml:space="preserve">•</w:t>
      </w:r>
      <w:r>
        <w:t xml:space="preserve"> </w:t>
      </w:r>
      <w:r>
        <w:rPr>
          <w:iCs/>
          <w:i/>
        </w:rPr>
        <w:t xml:space="preserve">Welder Mini (Entry):</w:t>
      </w:r>
      <w:r>
        <w:t xml:space="preserve"> </w:t>
      </w:r>
      <w:r>
        <w:t xml:space="preserve">$2,199 (SME focus) – 50% lighter for workshop mobility.</w:t>
      </w:r>
      <w:r>
        <w:t xml:space="preserve"> </w:t>
      </w:r>
      <w:r>
        <w:t xml:space="preserve">•</w:t>
      </w:r>
      <w:r>
        <w:t xml:space="preserve"> </w:t>
      </w:r>
      <w:r>
        <w:rPr>
          <w:iCs/>
          <w:i/>
        </w:rPr>
        <w:t xml:space="preserve">Welder Pro (Mid-Tier):</w:t>
      </w:r>
      <w:r>
        <w:t xml:space="preserve"> </w:t>
      </w:r>
      <w:r>
        <w:t xml:space="preserve">$4,899 (Construction/Shipbuilding) – Bluetooth-enabled usage analytics.</w:t>
      </w:r>
      <w:r>
        <w:t xml:space="preserve"> </w:t>
      </w:r>
      <w:r>
        <w:t xml:space="preserve">•</w:t>
      </w:r>
      <w:r>
        <w:t xml:space="preserve"> </w:t>
      </w:r>
      <w:r>
        <w:rPr>
          <w:iCs/>
          <w:i/>
        </w:rPr>
        <w:t xml:space="preserve">Welder Heavy:</w:t>
      </w:r>
      <w:r>
        <w:t xml:space="preserve"> </w:t>
      </w:r>
      <w:r>
        <w:t xml:space="preserve">$12,499 (Industrial) – 30% higher duty cycle for shipyard shifts.</w:t>
      </w:r>
      <w:r>
        <w:t xml:space="preserve"> </w:t>
      </w:r>
      <w:r>
        <w:t xml:space="preserve">All include TSE certification and Istanbul-specific maintenance packages.</w:t>
      </w:r>
    </w:p>
    <w:bookmarkEnd w:id="24"/>
    <w:bookmarkStart w:id="25" w:name="promotion-channels"/>
    <w:p>
      <w:pPr>
        <w:pStyle w:val="Heading3"/>
      </w:pPr>
      <w:r>
        <w:t xml:space="preserve">Promotion &amp; Channels</w:t>
      </w:r>
    </w:p>
    <w:p>
      <w:pPr>
        <w:pStyle w:val="FirstParagraph"/>
      </w:pPr>
      <w:r>
        <w:rPr>
          <w:bCs/>
          <w:b/>
        </w:rPr>
        <w:t xml:space="preserve">Phase 1: Awareness (Months 1-6)</w:t>
      </w:r>
      <w:r>
        <w:t xml:space="preserve"> </w:t>
      </w:r>
      <w:r>
        <w:t xml:space="preserve">- Partner with Istanbul Chamber of Industry (Istanbul Sanayi Odası) for exclusive workshops at Tuzla shipyards. Launch Instagram/TikTok campaigns targeting #İstanbulMakine tags, featuring local welders in real projects. Collaborate with popular Turkish industrial influencers like "Süper Mekanik" for authentic demonstrations.</w:t>
      </w:r>
    </w:p>
    <w:p>
      <w:pPr>
        <w:pStyle w:val="BodyText"/>
      </w:pPr>
      <w:r>
        <w:rPr>
          <w:bCs/>
          <w:b/>
        </w:rPr>
        <w:t xml:space="preserve">Phase 2: Conversion (Months 7-18)</w:t>
      </w:r>
      <w:r>
        <w:t xml:space="preserve"> </w:t>
      </w:r>
      <w:r>
        <w:t xml:space="preserve">- Offer "Istanbul Launch Package": Free delivery to any district + first service at no cost. Targeted email campaigns via Istanbul Business Directory database. Sponsor the 2024 Istanbul International Maritime Fair.</w:t>
      </w:r>
    </w:p>
    <w:p>
      <w:pPr>
        <w:pStyle w:val="BodyText"/>
      </w:pPr>
      <w:r>
        <w:rPr>
          <w:bCs/>
          <w:b/>
        </w:rPr>
        <w:t xml:space="preserve">Phase 3: Loyalty (Ongoing)</w:t>
      </w:r>
      <w:r>
        <w:t xml:space="preserve"> </w:t>
      </w:r>
      <w:r>
        <w:t xml:space="preserve">- Build a Turkish-language "Welder Club" app with real-time local technician tracking, predictive maintenance alerts, and exclusive discounts for repeat buyers in Istanbul neighborhoods.</w:t>
      </w:r>
    </w:p>
    <w:bookmarkEnd w:id="25"/>
    <w:bookmarkEnd w:id="26"/>
    <w:bookmarkStart w:id="27" w:name="distribution-strategy"/>
    <w:p>
      <w:pPr>
        <w:pStyle w:val="Heading2"/>
      </w:pPr>
      <w:r>
        <w:t xml:space="preserve">Distribution Strategy</w:t>
      </w:r>
    </w:p>
    <w:p>
      <w:pPr>
        <w:pStyle w:val="FirstParagraph"/>
      </w:pPr>
      <w:r>
        <w:t xml:space="preserve">Istanbul’s logistics are critical. We establish a dedicated 5,000 sqm warehouse in Ümraniye (central location for all districts), stocked with 14,500+ spare parts – reducing delivery time from 7 days to under 24 hours. Partnerships with Istanbul-based logistics firms (e.g., Aras Kargo) ensure same-day dispatch within city limits. All sales include "Istanbul Service Guarantee" – technicians arrive within 4 hours for warranty claims, a market-first.</w:t>
      </w:r>
    </w:p>
    <w:bookmarkEnd w:id="27"/>
    <w:bookmarkStart w:id="28" w:name="financial-projections-kpis"/>
    <w:p>
      <w:pPr>
        <w:pStyle w:val="Heading2"/>
      </w:pPr>
      <w:r>
        <w:t xml:space="preserve">Financial Projections &amp; KPIs</w:t>
      </w:r>
    </w:p>
    <w:p>
      <w:pPr>
        <w:pStyle w:val="FirstParagraph"/>
      </w:pPr>
      <w:r>
        <w:t xml:space="preserve">We project $1.8M revenue in Year 1 (500 units sold), growing to $4.3M by Year 2. Key KPIs include:</w:t>
      </w:r>
      <w:r>
        <w:t xml:space="preserve"> </w:t>
      </w:r>
      <w:r>
        <w:t xml:space="preserve">• Market share: 8% → 12% within Istanbul</w:t>
      </w:r>
      <w:r>
        <w:t xml:space="preserve"> </w:t>
      </w:r>
      <w:r>
        <w:t xml:space="preserve">• Customer retention rate: Target &gt;75% (vs. industry average of 52%)</w:t>
      </w:r>
      <w:r>
        <w:t xml:space="preserve"> </w:t>
      </w:r>
      <w:r>
        <w:t xml:space="preserve">• Local service satisfaction: ≥4.7/5 on Istanbul Business Survey</w:t>
      </w:r>
      <w:r>
        <w:t xml:space="preserve"> </w:t>
      </w:r>
      <w:r>
        <w:t xml:space="preserve">Cost allocation prioritizes local presence – 60% of budget funds the Ümraniye warehouse, technician recruitment, and Istanbul-specific marketing.</w:t>
      </w:r>
    </w:p>
    <w:bookmarkEnd w:id="28"/>
    <w:bookmarkStart w:id="29" w:name="X9959459405ea240cc5c69d6c29885619cbb5f01"/>
    <w:p>
      <w:pPr>
        <w:pStyle w:val="Heading2"/>
      </w:pPr>
      <w:r>
        <w:t xml:space="preserve">Competitive Differentiation in Turkey Istanbul</w:t>
      </w:r>
    </w:p>
    <w:p>
      <w:pPr>
        <w:pStyle w:val="FirstParagraph"/>
      </w:pPr>
      <w:r>
        <w:t xml:space="preserve">While competitors like Lincoln Electric or Fronius offer global quality, they lack our Turkey-centric infrastructure. Our "Welder Pro Series" wins through:</w:t>
      </w:r>
      <w:r>
        <w:t xml:space="preserve"> </w:t>
      </w:r>
      <w:r>
        <w:t xml:space="preserve">•</w:t>
      </w:r>
      <w:r>
        <w:t xml:space="preserve"> </w:t>
      </w:r>
      <w:r>
        <w:rPr>
          <w:bCs/>
          <w:b/>
        </w:rPr>
        <w:t xml:space="preserve">Cultural Fluency:</w:t>
      </w:r>
      <w:r>
        <w:t xml:space="preserve"> </w:t>
      </w:r>
      <w:r>
        <w:t xml:space="preserve">All support staff trained in Turkish business etiquette (e.g., formal greetings, relationship-building).</w:t>
      </w:r>
      <w:r>
        <w:t xml:space="preserve"> </w:t>
      </w:r>
      <w:r>
        <w:t xml:space="preserve">•</w:t>
      </w:r>
      <w:r>
        <w:t xml:space="preserve"> </w:t>
      </w:r>
      <w:r>
        <w:rPr>
          <w:bCs/>
          <w:b/>
        </w:rPr>
        <w:t xml:space="preserve">Regulatory Mastery:</w:t>
      </w:r>
      <w:r>
        <w:t xml:space="preserve"> </w:t>
      </w:r>
      <w:r>
        <w:t xml:space="preserve">Pre-certified for Istanbul’s strict municipal construction codes.</w:t>
      </w:r>
      <w:r>
        <w:t xml:space="preserve"> </w:t>
      </w:r>
      <w:r>
        <w:t xml:space="preserve">•</w:t>
      </w:r>
      <w:r>
        <w:t xml:space="preserve"> </w:t>
      </w:r>
      <w:r>
        <w:rPr>
          <w:bCs/>
          <w:b/>
        </w:rPr>
        <w:t xml:space="preserve">Logistical Agility:</w:t>
      </w:r>
      <w:r>
        <w:t xml:space="preserve"> </w:t>
      </w:r>
      <w:r>
        <w:t xml:space="preserve">92% of orders fulfilled within Istanbul’s city limits vs. competitors’ 35%.</w:t>
      </w:r>
    </w:p>
    <w:bookmarkEnd w:id="29"/>
    <w:bookmarkStart w:id="30" w:name="risk-mitigation"/>
    <w:p>
      <w:pPr>
        <w:pStyle w:val="Heading2"/>
      </w:pPr>
      <w:r>
        <w:t xml:space="preserve">Risk Mitigation</w:t>
      </w:r>
    </w:p>
    <w:p>
      <w:pPr>
        <w:pStyle w:val="FirstParagraph"/>
      </w:pPr>
      <w:r>
        <w:t xml:space="preserve">We address key Turkey-specific risks:</w:t>
      </w:r>
      <w:r>
        <w:t xml:space="preserve"> </w:t>
      </w:r>
      <w:r>
        <w:t xml:space="preserve">• *Currency Volatility:* Fixed pricing for all units; 60% revenue in Turkish Lira.</w:t>
      </w:r>
      <w:r>
        <w:t xml:space="preserve"> </w:t>
      </w:r>
      <w:r>
        <w:t xml:space="preserve">• *Regulatory Shifts:* Dedicated TSE liaison in Istanbul office for real-time compliance updates.</w:t>
      </w:r>
      <w:r>
        <w:t xml:space="preserve"> </w:t>
      </w:r>
      <w:r>
        <w:t xml:space="preserve">• *Competition Response:* Annual "Welder Innovation Summit" to showcase new features, reinforcing leadership.</w:t>
      </w:r>
    </w:p>
    <w:bookmarkEnd w:id="30"/>
    <w:bookmarkStart w:id="31" w:name="conclusion"/>
    <w:p>
      <w:pPr>
        <w:pStyle w:val="Heading2"/>
      </w:pPr>
      <w:r>
        <w:t xml:space="preserve">Conclusion</w:t>
      </w:r>
    </w:p>
    <w:p>
      <w:pPr>
        <w:pStyle w:val="FirstParagraph"/>
      </w:pPr>
      <w:r>
        <w:t xml:space="preserve">The "Welder Pro Series" isn’t just a product – it’s the first welding solution designed exclusively for Istanbul’s industrial heartbeat. By embedding our marketing plan into Turkey’s economic rhythm, prioritizing TSE compliance, and building hyper-local service networks across Istanbul districts, we position "Welder" as the indispensable partner for every welder in Turkey’s most vibrant city. This isn’t an entry strategy; it’s a commitment to Istanbul's future – where quality meets location at every weld.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Turkey Istanbul Market</dc:title>
  <dc:creator/>
  <dc:language>en</dc:language>
  <cp:keywords/>
  <dcterms:created xsi:type="dcterms:W3CDTF">2026-07-21T13:41:33Z</dcterms:created>
  <dcterms:modified xsi:type="dcterms:W3CDTF">2026-07-21T13:41:33Z</dcterms:modified>
</cp:coreProperties>
</file>

<file path=docProps/custom.xml><?xml version="1.0" encoding="utf-8"?>
<Properties xmlns="http://schemas.openxmlformats.org/officeDocument/2006/custom-properties" xmlns:vt="http://schemas.openxmlformats.org/officeDocument/2006/docPropsVTypes"/>
</file>