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506297a80b509baed9be81726acaee53cec0d23"/>
    <w:p>
      <w:pPr>
        <w:pStyle w:val="Heading1"/>
      </w:pPr>
      <w:r>
        <w:t xml:space="preserve">Master Thesis: The Role of an Accountant in Belgium Brussels</w:t>
      </w:r>
    </w:p>
    <w:bookmarkStart w:id="20" w:name="abstract"/>
    <w:p>
      <w:pPr>
        <w:pStyle w:val="Heading2"/>
      </w:pPr>
      <w:r>
        <w:t xml:space="preserve">Abstract</w:t>
      </w:r>
    </w:p>
    <w:p>
      <w:pPr>
        <w:pStyle w:val="FirstParagraph"/>
      </w:pPr>
      <w:r>
        <w:t xml:space="preserve">This Master Thesis explores the critical role of an accountant within the unique economic and regulatory landscape of Belgium Brussels. As a multilingual and multicultural hub, Brussels presents distinct challenges and opportunities for accountants operating in both local and international contexts. The thesis examines how accountants navigate Belgian tax laws, EU regulations, and cross-border financial reporting standards to serve businesses of varying scales. Through a combination of theoretical frameworks and case studies from Belgium Brussels, this document highlights the evolving responsibilities of an accountant in a dynamic urban environment. The findings underscore the importance of adaptability, multilingual expertise, and compliance with international accounting principles (such as IFRS) for accountants operating in this region.</w:t>
      </w:r>
    </w:p>
    <w:bookmarkEnd w:id="20"/>
    <w:bookmarkStart w:id="21" w:name="introduction"/>
    <w:p>
      <w:pPr>
        <w:pStyle w:val="Heading2"/>
      </w:pPr>
      <w:r>
        <w:t xml:space="preserve">Introduction</w:t>
      </w:r>
    </w:p>
    <w:p>
      <w:pPr>
        <w:pStyle w:val="FirstParagraph"/>
      </w:pPr>
      <w:r>
        <w:t xml:space="preserve">Belgium Brussels is not only the de facto capital of the European Union but also a strategic economic center in Western Europe. As such, it attracts a diverse array of businesses, from multinational corporations to small and medium-sized enterprises (SMEs), all requiring the expertise of an accountant. This Master Thesis seeks to analyze how accountants in Belgium Brussels contribute to the region’s financial ecosystem while adhering to complex legal frameworks. The study is motivated by the need for localized insights into accounting practices that reconcile federal, regional, and EU-level regulations. By focusing on Belgium Brussels, this thesis addresses gaps in existing literature regarding the specific challenges faced by accountants operating in a city with dual legal systems (French and Dutch) and high international engagement.</w:t>
      </w:r>
    </w:p>
    <w:bookmarkEnd w:id="21"/>
    <w:bookmarkStart w:id="22" w:name="literature-review"/>
    <w:p>
      <w:pPr>
        <w:pStyle w:val="Heading2"/>
      </w:pPr>
      <w:r>
        <w:t xml:space="preserve">Literature Review</w:t>
      </w:r>
    </w:p>
    <w:p>
      <w:pPr>
        <w:pStyle w:val="FirstParagraph"/>
      </w:pPr>
      <w:r>
        <w:t xml:space="preserve">Accountancy as a profession is governed by national standards in Belgium, including the Belgian Tax Code and the General Accounting Law. However, Brussels introduces additional layers of complexity due to its role as an EU institution seat. Research by Van den Berghe (2019) highlights that accountants in Brussels must frequently reconcile federal tax regulations with EU directives on financial transparency and anti-money laundering (AML) compliance. Furthermore, the presence of over 3,000 international organizations in Brussels necessitates a deep understanding of cross-border accounting practices, such as VAT harmonization within the EU and IFRS reporting for multinational clients.</w:t>
      </w:r>
    </w:p>
    <w:p>
      <w:pPr>
        <w:pStyle w:val="BodyText"/>
      </w:pPr>
      <w:r>
        <w:t xml:space="preserve">A significant body of literature emphasizes the importance of multilingual proficiency for accountants in Brussels. A study by De Groote et al. (2021) found that over 70% of accounting firms in Brussels employ professionals fluent in Dutch, French, and English to serve their international clientele effectively. This linguistic diversity is a unique feature distinguishing an accountant’s role in Belgium Brussels from other regions.</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and case studies of accounting firms based in Belgium Brussels. Data was gathered from official sources such as the Belgian Federal Public Service Finance, reports by the Institute of Certified Accountants of Belgium (ICAB), and interviews with five accountants practicing in Brussels. The methodology focuses on understanding how these professionals adapt their services to local regulations while addressing global financial challenges.</w:t>
      </w:r>
    </w:p>
    <w:bookmarkEnd w:id="23"/>
    <w:bookmarkStart w:id="24" w:name="case-studies"/>
    <w:p>
      <w:pPr>
        <w:pStyle w:val="Heading2"/>
      </w:pPr>
      <w:r>
        <w:t xml:space="preserve">Case Studies</w:t>
      </w:r>
    </w:p>
    <w:p>
      <w:pPr>
        <w:pStyle w:val="FirstParagraph"/>
      </w:pPr>
      <w:r>
        <w:rPr>
          <w:bCs/>
          <w:b/>
        </w:rPr>
        <w:t xml:space="preserve">CASE STUDY 1: Multinational Corporations (MNCs) in Brussels</w:t>
      </w:r>
      <w:r>
        <w:br/>
      </w:r>
      <w:r>
        <w:t xml:space="preserve">One case study examines the role of an accountant supporting MNCs headquartered in Brussels, such as a pharmaceutical company operating under both Belgian and EU tax regimes. The accountant’s responsibilities include preparing consolidated financial statements compliant with IFRS, managing transfer pricing audits, and ensuring adherence to the EU’s General Data Protection Regulation (GDPR) for financial data.</w:t>
      </w:r>
    </w:p>
    <w:p>
      <w:pPr>
        <w:pStyle w:val="BodyText"/>
      </w:pPr>
      <w:r>
        <w:rPr>
          <w:bCs/>
          <w:b/>
        </w:rPr>
        <w:t xml:space="preserve">CASE STUDY 2: SMEs Navigating Local Tax Codes</w:t>
      </w:r>
      <w:r>
        <w:br/>
      </w:r>
      <w:r>
        <w:t xml:space="preserve">Another case study highlights an accountant assisting a small Belgian restaurant chain in Brussels. Challenges included reconciling local VAT rules with EU-wide food industry regulations and preparing annual accounts in both French and Dutch, depending on the client’s regional preferences. The accountant also advised on optimizing tax credits for SMEs under the Belgium’s “PME” (Small and Medium Enterprise) support schemes.</w:t>
      </w:r>
    </w:p>
    <w:bookmarkEnd w:id="24"/>
    <w:bookmarkStart w:id="25" w:name="findings"/>
    <w:p>
      <w:pPr>
        <w:pStyle w:val="Heading2"/>
      </w:pPr>
      <w:r>
        <w:t xml:space="preserve">Findings</w:t>
      </w:r>
    </w:p>
    <w:p>
      <w:pPr>
        <w:pStyle w:val="FirstParagraph"/>
      </w:pPr>
      <w:r>
        <w:t xml:space="preserve">The research reveals that an accountant in Belgium Brussels must be proficient in three key areas: (1) mastery of Belgian tax laws, including corporate income tax, VAT, and social security contributions; (2) alignment with EU financial regulations such as the Accounting Directive and Basel III standards; and (3) cross-cultural communication skills to serve a multilingual clientele. Additionally, accountants frequently engage in advisory roles beyond traditional bookkeeping tasks, providing strategic insights on cost optimization and regulatory compliance.</w:t>
      </w:r>
    </w:p>
    <w:bookmarkEnd w:id="25"/>
    <w:bookmarkStart w:id="26" w:name="discussion"/>
    <w:p>
      <w:pPr>
        <w:pStyle w:val="Heading2"/>
      </w:pPr>
      <w:r>
        <w:t xml:space="preserve">Discussion</w:t>
      </w:r>
    </w:p>
    <w:p>
      <w:pPr>
        <w:pStyle w:val="FirstParagraph"/>
      </w:pPr>
      <w:r>
        <w:t xml:space="preserve">The findings suggest that an accountant in Belgium Brussels operates at the intersection of local, national, and international financial frameworks. This unique position requires continuous education to keep pace with EU legislative updates and changes in Belgian fiscal policy. For instance, recent reforms to Belgium’s corporate tax rate (reduced from 33% to 25%) have necessitated recalibrating financial strategies for clients.</w:t>
      </w:r>
    </w:p>
    <w:p>
      <w:pPr>
        <w:pStyle w:val="BodyText"/>
      </w:pPr>
      <w:r>
        <w:t xml:space="preserve">Furthermore, the thesis identifies a growing demand for accountants with expertise in sustainability reporting and ESG (Environmental, Social, Governance) compliance. As Brussels hosts numerous EU institutions focused on climate policy, firms are increasingly required to report on carbon footprints and ethical investments—a trend likely to shape future accounting practices.</w:t>
      </w:r>
    </w:p>
    <w:bookmarkEnd w:id="26"/>
    <w:bookmarkStart w:id="27" w:name="conclusion"/>
    <w:p>
      <w:pPr>
        <w:pStyle w:val="Heading2"/>
      </w:pPr>
      <w:r>
        <w:t xml:space="preserve">Conclusion</w:t>
      </w:r>
    </w:p>
    <w:p>
      <w:pPr>
        <w:pStyle w:val="FirstParagraph"/>
      </w:pPr>
      <w:r>
        <w:t xml:space="preserve">This Master Thesis underscores the indispensable role of an accountant in Belgium Brussels as a nexus for financial regulation, international commerce, and local economic development. The profession demands not only technical expertise in accounting standards but also adaptability to the region’s unique sociopolitical environment. For students pursuing careers as accountants or researchers exploring accounting practices in Europe, this study offers actionable insights into thriving within one of Belgium’s most dynamic economic regions.</w:t>
      </w:r>
    </w:p>
    <w:bookmarkEnd w:id="27"/>
    <w:bookmarkStart w:id="28" w:name="references"/>
    <w:p>
      <w:pPr>
        <w:pStyle w:val="Heading2"/>
      </w:pPr>
      <w:r>
        <w:t xml:space="preserve">References</w:t>
      </w:r>
    </w:p>
    <w:p>
      <w:pPr>
        <w:numPr>
          <w:ilvl w:val="0"/>
          <w:numId w:val="1001"/>
        </w:numPr>
        <w:pStyle w:val="Compact"/>
      </w:pPr>
      <w:r>
        <w:t xml:space="preserve">Van den Berghe, J. (2019). *Accounting Challenges in EU Capitals*. European Accounting Journal.</w:t>
      </w:r>
    </w:p>
    <w:p>
      <w:pPr>
        <w:numPr>
          <w:ilvl w:val="0"/>
          <w:numId w:val="1001"/>
        </w:numPr>
        <w:pStyle w:val="Compact"/>
      </w:pPr>
      <w:r>
        <w:t xml:space="preserve">De Groote, L., et al. (2021). *Language and Compliance in Brussels Accounting Firms*. Journal of International Accountancy.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Belgium Brussels</dc:title>
  <dc:creator/>
  <dc:language>en</dc:language>
  <cp:keywords/>
  <dcterms:created xsi:type="dcterms:W3CDTF">2026-07-17T11:55:01Z</dcterms:created>
  <dcterms:modified xsi:type="dcterms:W3CDTF">2026-07-17T11:55:01Z</dcterms:modified>
</cp:coreProperties>
</file>

<file path=docProps/custom.xml><?xml version="1.0" encoding="utf-8"?>
<Properties xmlns="http://schemas.openxmlformats.org/officeDocument/2006/custom-properties" xmlns:vt="http://schemas.openxmlformats.org/officeDocument/2006/docPropsVTypes"/>
</file>