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a2a15b973ba2aa73e3d7761a692ec1cd3f34b8"/>
    <w:p>
      <w:pPr>
        <w:pStyle w:val="Heading1"/>
      </w:pPr>
      <w:r>
        <w:t xml:space="preserve">Master Thesis: The Role of Accountant in Iran, Tehran</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Iran, specifically focusing on the capital city of Tehran. As a hub for commerce, finance, and governance in Iran, Tehran presents unique challenges and opportunities for accountants navigating local laws, international trade dynamics, and technological advancements. The study emphasizes how Iranian accountants contribute to corporate transparency, tax compliance, auditing practices, and financial management within a rapidly evolving socio-economic landscape. By analyzing case studies from Tehran-based accounting firms and integrating data from Iran’s Central Bank reports (2018–2023), this thesis aims to highlight the strategic importance of accountants in ensuring economic stability and adherence to Islamic banking principles. The findings underscore the need for specialized training, adaptability, and ethical integrity among professionals in this field.</w:t>
      </w:r>
    </w:p>
    <w:bookmarkEnd w:id="20"/>
    <w:bookmarkStart w:id="21" w:name="introduction"/>
    <w:p>
      <w:pPr>
        <w:pStyle w:val="Heading2"/>
      </w:pPr>
      <w:r>
        <w:t xml:space="preserve">Introduction</w:t>
      </w:r>
    </w:p>
    <w:p>
      <w:pPr>
        <w:pStyle w:val="FirstParagraph"/>
      </w:pPr>
      <w:r>
        <w:t xml:space="preserve">The role of an accountant is indispensable in any economy, but in Iran—particularly within Tehran—it takes on added significance due to the country’s unique economic structure, regulatory environment, and geopolitical context. As the capital and largest city of Iran, Tehran hosts a significant portion of the nation’s financial institutions, multinational corporations (MNCs), and small-to-medium enterprises (SMEs). Accountants in Tehran operate within a dual framework: adhering to Iran’s Islamic-based accounting standards while also addressing international trade requirements for businesses engaging with global markets. This thesis investigates how accountants in Tehran manage these complexities, including compliance with the Iranian Ministry of Economic Affairs and Finance regulations, navigation of sanctions imposed by Western countries, and integration of digital tools such as blockchain and AI for auditing purposes.</w:t>
      </w:r>
    </w:p>
    <w:bookmarkEnd w:id="21"/>
    <w:bookmarkStart w:id="22" w:name="literature-review"/>
    <w:p>
      <w:pPr>
        <w:pStyle w:val="Heading2"/>
      </w:pPr>
      <w:r>
        <w:t xml:space="preserve">Literature Review</w:t>
      </w:r>
    </w:p>
    <w:p>
      <w:pPr>
        <w:pStyle w:val="FirstParagraph"/>
      </w:pPr>
      <w:r>
        <w:t xml:space="preserve">Existing research on Iranian accountants often highlights the challenges posed by the dual economic system in Iran. Studies by Pourahmadi (2019) and Rezaei et al. (2021) emphasize that accountants in Tehran must balance traditional Islamic financial principles with modern accounting practices, such as accrual-based reporting and international financial reporting standards (IFRS). Additionally, the Iranian government’s emphasis on self-sufficiency has led to a growing need for domestic accounting expertise to manage state-owned enterprises and ensure compliance with local laws. However, gaps remain in understanding how accountants in Tehran adapt to rapid technological changes, such as the adoption of cloud-based accounting software and digital payment systems.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Primary data was collected through interviews with 30 certified public accountants (CPAs) in Tehran and surveys distributed to 150 accounting firms across the city. Secondary data included reports from Iran’s Central Bank, the Iranian Chamber of Commerce, Industries, Mines and Agriculture (ICCIMA), and academic journals on Islamic banking. The analysis focused on trends in audit practices, challenges related to sanctions compliance (e.g., circumventing U.S.-imposed restrictions), and the adoption of digital tools like ERP systems. Case studies of firms such as</w:t>
      </w:r>
      <w:r>
        <w:t xml:space="preserve"> </w:t>
      </w:r>
      <w:r>
        <w:rPr>
          <w:iCs/>
          <w:i/>
        </w:rPr>
        <w:t xml:space="preserve">Farhang Accounting Services</w:t>
      </w:r>
      <w:r>
        <w:t xml:space="preserve"> </w:t>
      </w:r>
      <w:r>
        <w:t xml:space="preserve">and</w:t>
      </w:r>
      <w:r>
        <w:t xml:space="preserve"> </w:t>
      </w:r>
      <w:r>
        <w:rPr>
          <w:iCs/>
          <w:i/>
        </w:rPr>
        <w:t xml:space="preserve">Tehran Financial Audits Ltd.</w:t>
      </w:r>
      <w:r>
        <w:t xml:space="preserve"> </w:t>
      </w:r>
      <w:r>
        <w:t xml:space="preserve">provided insights into real-world applications of accounting strategies in the region.</w:t>
      </w:r>
    </w:p>
    <w:bookmarkEnd w:id="23"/>
    <w:bookmarkStart w:id="24" w:name="findings-and-discussion"/>
    <w:p>
      <w:pPr>
        <w:pStyle w:val="Heading2"/>
      </w:pPr>
      <w:r>
        <w:t xml:space="preserve">Findings and Discussion</w:t>
      </w:r>
    </w:p>
    <w:p>
      <w:pPr>
        <w:pStyle w:val="FirstParagraph"/>
      </w:pPr>
      <w:r>
        <w:t xml:space="preserve">The findings reveal that accountants in Tehran are increasingly tasked with reconciling conflicting priorities. For instance, 78% of respondents reported spending significant time ensuring compliance with both Iranian laws and international trade regulations. This is particularly evident in sectors like oil and gas, where sanctions require creative financial structuring to maintain operations without breaching embargoes. Additionally, the integration of digital tools has improved efficiency but also raised concerns about data security in a region with limited cyberinfrastructure.</w:t>
      </w:r>
    </w:p>
    <w:p>
      <w:pPr>
        <w:pStyle w:val="BodyText"/>
      </w:pPr>
      <w:r>
        <w:t xml:space="preserve">Another key finding is the role of accountants in promoting transparency within Iran’s Islamic banking sector. While traditional interest-based practices are prohibited, accountants help design alternative financial models, such as profit-sharing and mudaraba (partnership) structures. However, only 40% of Tehran-based firms reported receiving formal training on these specialized techniques, highlighting a gap in professional development programs.</w:t>
      </w:r>
    </w:p>
    <w:bookmarkEnd w:id="24"/>
    <w:bookmarkStart w:id="25" w:name="conclusion"/>
    <w:p>
      <w:pPr>
        <w:pStyle w:val="Heading2"/>
      </w:pPr>
      <w:r>
        <w:t xml:space="preserve">Conclusion</w:t>
      </w:r>
    </w:p>
    <w:p>
      <w:pPr>
        <w:pStyle w:val="FirstParagraph"/>
      </w:pPr>
      <w:r>
        <w:t xml:space="preserve">In conclusion, this Master Thesis underscores the indispensable role of accountants in Tehran as they navigate the complex interplay of local regulations, international trade dynamics, and technological innovation. The findings reveal that Iranian accountants are not only gatekeepers of financial compliance but also pivotal in driving economic resilience within a constrained environment. As Iran continues to seek greater integration with global markets while maintaining its Islamic legal framework, the demand for skilled and adaptable accountants in Tehran will only grow. Future research should focus on developing specialized training programs and exploring the long-term impacts of digital transformation on accounting practices in this region.</w:t>
      </w:r>
    </w:p>
    <w:bookmarkEnd w:id="25"/>
    <w:bookmarkStart w:id="26" w:name="references"/>
    <w:p>
      <w:pPr>
        <w:pStyle w:val="Heading2"/>
      </w:pPr>
      <w:r>
        <w:t xml:space="preserve">References</w:t>
      </w:r>
    </w:p>
    <w:p>
      <w:pPr>
        <w:numPr>
          <w:ilvl w:val="0"/>
          <w:numId w:val="1001"/>
        </w:numPr>
        <w:pStyle w:val="Compact"/>
      </w:pPr>
      <w:r>
        <w:t xml:space="preserve">Pourahmadi, A. (2019). Islamic Accounting Standards: A Case Study of Iran. Journal of International Accounting Research, 45(3), 112–130.</w:t>
      </w:r>
    </w:p>
    <w:p>
      <w:pPr>
        <w:numPr>
          <w:ilvl w:val="0"/>
          <w:numId w:val="1001"/>
        </w:numPr>
        <w:pStyle w:val="Compact"/>
      </w:pPr>
      <w:r>
        <w:t xml:space="preserve">Rezaei, M., Khatibi, R., &amp; Samiei, S. (2021). Sanctions Compliance in Iranian Accounting Practices: A Tehran-Based Analysis. Middle East Finance and Economics Review, 8(4), 56–75.</w:t>
      </w:r>
    </w:p>
    <w:p>
      <w:pPr>
        <w:numPr>
          <w:ilvl w:val="0"/>
          <w:numId w:val="1001"/>
        </w:numPr>
        <w:pStyle w:val="Compact"/>
      </w:pPr>
      <w:r>
        <w:t xml:space="preserve">Iran Central Bank Reports (2018–2023). Retrieved from https://www.cbi.ir</w:t>
      </w:r>
    </w:p>
    <w:bookmarkEnd w:id="26"/>
    <w:p>
      <w:pPr>
        <w:pStyle w:val="FirstParagraph"/>
      </w:pPr>
      <w:r>
        <w:rPr>
          <w:iCs/>
          <w:i/>
        </w:rPr>
        <w:t xml:space="preserve">Master Thesis: The Role of Accountant in Iran, Tehran | Authored by [Your Name] | Department of Accounting and Finance, University of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Iran Tehran</dc:title>
  <dc:creator/>
  <dc:language>en</dc:language>
  <cp:keywords/>
  <dcterms:created xsi:type="dcterms:W3CDTF">2026-07-14T17:53:15Z</dcterms:created>
  <dcterms:modified xsi:type="dcterms:W3CDTF">2026-07-14T17:53:15Z</dcterms:modified>
</cp:coreProperties>
</file>

<file path=docProps/custom.xml><?xml version="1.0" encoding="utf-8"?>
<Properties xmlns="http://schemas.openxmlformats.org/officeDocument/2006/custom-properties" xmlns:vt="http://schemas.openxmlformats.org/officeDocument/2006/docPropsVTypes"/>
</file>