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307d3975c7138f1a909eb51a6a50856b087ef3f"/>
    <w:p>
      <w:pPr>
        <w:pStyle w:val="Heading1"/>
      </w:pPr>
      <w:r>
        <w:t xml:space="preserve">Master Thesis: The Role and Impact of Accountants in the Economic Landscape of Saudi Arabia, Riyadh</w:t>
      </w:r>
    </w:p>
    <w:p>
      <w:pPr>
        <w:pStyle w:val="FirstParagraph"/>
      </w:pPr>
      <w:r>
        <w:rPr>
          <w:bCs/>
          <w:b/>
        </w:rPr>
        <w:t xml:space="preserve">Abstract:</w:t>
      </w:r>
    </w:p>
    <w:p>
      <w:pPr>
        <w:pStyle w:val="BodyText"/>
      </w:pPr>
      <w:r>
        <w:t xml:space="preserve">This Master Thesis explores the critical role of accountants in shaping the economic framework of Saudi Arabia, with a specific focus on Riyadh. As a hub for business, finance, and innovation in the Middle East, Riyadh presents unique challenges and opportunities for professional accountants. The study examines how accountants contribute to compliance with national regulations, support corporate growth under Vision 2030 initiatives, and adapt to technological advancements in financial management. By analyzing case studies of accounting practices in Riyadh’s public and private sectors, this thesis highlights the evolving responsibilities of accountants and their alignment with Saudi Arabia’s broader economic goals.</w:t>
      </w:r>
    </w:p>
    <w:bookmarkStart w:id="20" w:name="introduction"/>
    <w:p>
      <w:pPr>
        <w:pStyle w:val="Heading2"/>
      </w:pPr>
      <w:r>
        <w:t xml:space="preserve">Introduction</w:t>
      </w:r>
    </w:p>
    <w:p>
      <w:pPr>
        <w:pStyle w:val="FirstParagraph"/>
      </w:pPr>
      <w:r>
        <w:t xml:space="preserve">The role of an accountant is indispensable in any modern economy, particularly in a rapidly transforming market like Saudi Arabia. With Riyadh as the capital and primary economic center, the demand for skilled accountants has surged due to factors such as foreign investment, digitalization, and regulatory reforms under Vision 2030. This Master Thesis aims to investigate how accountants navigate these dynamics while ensuring financial transparency and sustainability in a region transitioning toward a knowledge-based economy.</w:t>
      </w:r>
    </w:p>
    <w:bookmarkEnd w:id="20"/>
    <w:bookmarkStart w:id="21" w:name="literature-review"/>
    <w:p>
      <w:pPr>
        <w:pStyle w:val="Heading2"/>
      </w:pPr>
      <w:r>
        <w:t xml:space="preserve">Literature Review</w:t>
      </w:r>
    </w:p>
    <w:p>
      <w:pPr>
        <w:pStyle w:val="FirstParagraph"/>
      </w:pPr>
      <w:r>
        <w:t xml:space="preserve">Accounting practices in Saudi Arabia have historically been influenced by Islamic principles, such as the prohibition of interest (riba) and the emphasis on ethical business conduct. However, recent decades have seen significant shifts due to globalization and the integration of international accounting standards (IFRS). Research by Al-Faris (2020) underscores the growing need for accountants in Riyadh to reconcile traditional practices with modern financial reporting frameworks.</w:t>
      </w:r>
    </w:p>
    <w:p>
      <w:pPr>
        <w:pStyle w:val="BodyText"/>
      </w:pPr>
      <w:r>
        <w:t xml:space="preserve">Vision 2030, Saudi Arabia’s ambitious plan for economic diversification, has increased the demand for professionals who can manage complex financial data and ensure compliance with both local and international regulations. This shift positions accountants as pivotal figures in driving transparency, innovation, and accountability across sectors such as energy, technology, and real estate.</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accounting practices in Riyadh with semi-structured interviews of certified public accountants (CPAs) operating in the region. Data was collected from 15 professionals across public and private organizations, including audit firms, financial institutions, and government agencies. The analysis focuses on themes such as regulatory compliance, technological integration (e.g., AI-driven bookkeeping), and the challenges of adapting to Vision 2030 objectives.</w:t>
      </w:r>
    </w:p>
    <w:bookmarkEnd w:id="22"/>
    <w:bookmarkStart w:id="23" w:name="Xefaf03c0c1ab1ae3816dbc250710d1ca47c3c8b"/>
    <w:p>
      <w:pPr>
        <w:pStyle w:val="Heading2"/>
      </w:pPr>
      <w:r>
        <w:t xml:space="preserve">Case Study: Accounting Practices in Riyadh</w:t>
      </w:r>
    </w:p>
    <w:p>
      <w:pPr>
        <w:pStyle w:val="FirstParagraph"/>
      </w:pPr>
      <w:r>
        <w:t xml:space="preserve">Riyadh’s financial sector is a microcosm of Saudi Arabia’s economic transformation. For instance, the Kingdom Holding Company (KHC), a major private equity firm headquartered in Riyadh, relies on its accountants to manage cross-border transactions and ensure adherence to IFRS while aligning with Islamic banking principles. Similarly, public sector entities like the Ministry of Finance depend on accountants to streamline budget allocations and monitor spending under Vision 2030 projects such as NEOM and the Red Sea Project.</w:t>
      </w:r>
    </w:p>
    <w:p>
      <w:pPr>
        <w:pStyle w:val="BodyText"/>
      </w:pPr>
      <w:r>
        <w:t xml:space="preserve">Technological advancements have also reshaped accounting roles in Riyadh. The adoption of cloud-based financial systems (e.g., SAP, Oracle) has reduced manual errors and improved data accessibility. Furthermore, accountants are increasingly required to interpret big data analytics for strategic decision-making, a skill emphasized in the Saudi Arabian Monetary Authority’s (SAMA) guidelines.</w:t>
      </w:r>
    </w:p>
    <w:bookmarkEnd w:id="23"/>
    <w:bookmarkStart w:id="24" w:name="Xbbae36b4d031d523503deb1be32b9b51bf7abc3"/>
    <w:p>
      <w:pPr>
        <w:pStyle w:val="Heading2"/>
      </w:pPr>
      <w:r>
        <w:t xml:space="preserve">Challenges Faced by Accountants in Riyadh</w:t>
      </w:r>
    </w:p>
    <w:p>
      <w:pPr>
        <w:numPr>
          <w:ilvl w:val="0"/>
          <w:numId w:val="1001"/>
        </w:numPr>
        <w:pStyle w:val="Compact"/>
      </w:pPr>
      <w:r>
        <w:rPr>
          <w:bCs/>
          <w:b/>
        </w:rPr>
        <w:t xml:space="preserve">Regulatory Complexity:</w:t>
      </w:r>
      <w:r>
        <w:t xml:space="preserve"> </w:t>
      </w:r>
      <w:r>
        <w:t xml:space="preserve">Balancing local Shari’a-compliant practices with international standards like IFRS poses a unique challenge for accountants in Riyadh.</w:t>
      </w:r>
    </w:p>
    <w:p>
      <w:pPr>
        <w:numPr>
          <w:ilvl w:val="0"/>
          <w:numId w:val="1001"/>
        </w:numPr>
        <w:pStyle w:val="Compact"/>
      </w:pPr>
      <w:r>
        <w:rPr>
          <w:bCs/>
          <w:b/>
        </w:rPr>
        <w:t xml:space="preserve">Technological Adaptation:</w:t>
      </w:r>
      <w:r>
        <w:t xml:space="preserve"> </w:t>
      </w:r>
      <w:r>
        <w:t xml:space="preserve">Rapid digitalization requires continuous upskilling, such as mastering AI tools and blockchain-based accounting systems.</w:t>
      </w:r>
    </w:p>
    <w:p>
      <w:pPr>
        <w:numPr>
          <w:ilvl w:val="0"/>
          <w:numId w:val="1001"/>
        </w:numPr>
        <w:pStyle w:val="Compact"/>
      </w:pPr>
      <w:r>
        <w:rPr>
          <w:bCs/>
          <w:b/>
        </w:rPr>
        <w:t xml:space="preserve">Cultural Dynamics:</w:t>
      </w:r>
      <w:r>
        <w:t xml:space="preserve"> </w:t>
      </w:r>
      <w:r>
        <w:t xml:space="preserve">Ensuring transparency in a business environment shaped by traditional practices while meeting global expectations for accountability.</w:t>
      </w:r>
    </w:p>
    <w:bookmarkEnd w:id="24"/>
    <w:bookmarkStart w:id="25" w:name="X63b4763bb592b5e56024a3c11a1dd17fd295d99"/>
    <w:p>
      <w:pPr>
        <w:pStyle w:val="Heading2"/>
      </w:pPr>
      <w:r>
        <w:t xml:space="preserve">The Future of Accountants in Saudi Arabia</w:t>
      </w:r>
    </w:p>
    <w:p>
      <w:pPr>
        <w:pStyle w:val="FirstParagraph"/>
      </w:pPr>
      <w:r>
        <w:t xml:space="preserve">The role of an accountant in Riyadh is poised to evolve further with the integration of emerging technologies and the expansion of financial services under Vision 2030. Future accountants must prioritize ethical leadership, digital literacy, and cross-cultural competence. For example, the National Transformation Program (NTP) emphasizes the need for professionals who can support sustainable development goals (SDGs) through accurate financial reporting and risk management.</w:t>
      </w:r>
    </w:p>
    <w:p>
      <w:pPr>
        <w:pStyle w:val="BodyText"/>
      </w:pPr>
      <w:r>
        <w:t xml:space="preserve">Moreover, the Saudi government’s push for localization (Nitaqat program) has created opportunities for local accountants to lead in public sector roles, reducing reliance on expatriate expertise. This trend is expected to strengthen the domestic accounting talent pool in Riyadh over the coming years.</w:t>
      </w:r>
    </w:p>
    <w:bookmarkEnd w:id="25"/>
    <w:bookmarkStart w:id="26" w:name="conclusion"/>
    <w:p>
      <w:pPr>
        <w:pStyle w:val="Heading2"/>
      </w:pPr>
      <w:r>
        <w:t xml:space="preserve">Conclusion</w:t>
      </w:r>
    </w:p>
    <w:p>
      <w:pPr>
        <w:pStyle w:val="FirstParagraph"/>
      </w:pPr>
      <w:r>
        <w:t xml:space="preserve">This Master Thesis highlights the indispensable role of accountants in Saudi Arabia’s economic journey, particularly within Riyadh. As a strategic center for financial innovation and regulatory reform, Riyadh demands professionals who can navigate complex legal frameworks, leverage technology, and align with Vision 2030 objectives. The findings underscore that the future of accounting in Saudi Arabia hinges on adaptability, ethical integrity, and a commitment to driving sustainable growth.</w:t>
      </w:r>
    </w:p>
    <w:bookmarkEnd w:id="26"/>
    <w:bookmarkStart w:id="27" w:name="references"/>
    <w:p>
      <w:pPr>
        <w:pStyle w:val="Heading2"/>
      </w:pPr>
      <w:r>
        <w:t xml:space="preserve">References</w:t>
      </w:r>
    </w:p>
    <w:p>
      <w:pPr>
        <w:pStyle w:val="FirstParagraph"/>
      </w:pPr>
      <w:r>
        <w:t xml:space="preserve">Al-Faris, M. (2020). *Islamic Banking and Accounting Standards in Saudi Arabia*. Journal of Financial Management in the Middle East, 15(3), 45–67.</w:t>
      </w:r>
    </w:p>
    <w:p>
      <w:pPr>
        <w:pStyle w:val="BodyText"/>
      </w:pPr>
      <w:r>
        <w:t xml:space="preserve">Saudi Arabian Monetary Authority (SAMA). (2021). *Guidelines for Digital Transformation in Financial Services*. Riyadh: SAMA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Saudi Arabia, Riyadh</dc:title>
  <dc:creator/>
  <dc:language>en</dc:language>
  <cp:keywords/>
  <dcterms:created xsi:type="dcterms:W3CDTF">2026-07-19T07:37:28Z</dcterms:created>
  <dcterms:modified xsi:type="dcterms:W3CDTF">2026-07-19T07:37:28Z</dcterms:modified>
</cp:coreProperties>
</file>

<file path=docProps/custom.xml><?xml version="1.0" encoding="utf-8"?>
<Properties xmlns="http://schemas.openxmlformats.org/officeDocument/2006/custom-properties" xmlns:vt="http://schemas.openxmlformats.org/officeDocument/2006/docPropsVTypes"/>
</file>