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65615870a5fc57c1888e94fcda665315f3a8993"/>
    <w:p>
      <w:pPr>
        <w:pStyle w:val="Heading1"/>
      </w:pPr>
      <w:r>
        <w:t xml:space="preserve">Master Thesis: The Role of Accountant in Sudan Khartoum</w:t>
      </w:r>
    </w:p>
    <w:bookmarkStart w:id="20" w:name="abstract"/>
    <w:p>
      <w:pPr>
        <w:pStyle w:val="Heading2"/>
      </w:pPr>
      <w:r>
        <w:t xml:space="preserve">Abstract</w:t>
      </w:r>
    </w:p>
    <w:p>
      <w:pPr>
        <w:pStyle w:val="FirstParagraph"/>
      </w:pPr>
      <w:r>
        <w:t xml:space="preserve">This Master Thesis explores the critical role of accountants in the economic landscape of Sudan, with a specific focus on Khartoum. As the capital and largest city of Sudan, Khartoum serves as a hub for commerce, finance, and governance. The study examines how accountants navigate unique challenges such as political instability, inflationary pressures, and regulatory frameworks to ensure financial transparency and economic stability. Through qualitative analysis of local practices, policy reviews, and case studies from Khartoum-based accounting firms, this thesis highlights the indispensable contributions of accountants to Sudan's socio-economic development.</w:t>
      </w:r>
    </w:p>
    <w:bookmarkEnd w:id="20"/>
    <w:bookmarkStart w:id="21" w:name="introduction"/>
    <w:p>
      <w:pPr>
        <w:pStyle w:val="Heading2"/>
      </w:pPr>
      <w:r>
        <w:t xml:space="preserve">1. Introduction</w:t>
      </w:r>
    </w:p>
    <w:p>
      <w:pPr>
        <w:pStyle w:val="FirstParagraph"/>
      </w:pPr>
      <w:r>
        <w:t xml:space="preserve">The profession of an accountant is pivotal in any economy, acting as a bridge between financial data and strategic decision-making. In Sudan Khartoum, where economic conditions are shaped by historical, political, and environmental factors, the role of accountants has evolved to meet specific regional demands. This thesis investigates how accountants in Khartoum contribute to economic resilience amid challenges such as currency devaluation (e.g., the Sudanese Pound), sanctions imposed by international bodies like the United Nations, and fluctuating market dynamics. The study aims to provide a comprehensive understanding of the accountant's role in Sudan Khartoum, emphasizing their adaptability and expertise in a complex environment.</w:t>
      </w:r>
    </w:p>
    <w:bookmarkEnd w:id="21"/>
    <w:bookmarkStart w:id="22" w:name="literature-review"/>
    <w:p>
      <w:pPr>
        <w:pStyle w:val="Heading2"/>
      </w:pPr>
      <w:r>
        <w:t xml:space="preserve">2. Literature Review</w:t>
      </w:r>
    </w:p>
    <w:p>
      <w:pPr>
        <w:pStyle w:val="FirstParagraph"/>
      </w:pPr>
      <w:r>
        <w:t xml:space="preserve">The literature on accounting practices globally underscores the profession’s importance in maintaining financial accountability, tax compliance, and business growth. However, regional studies on accountants in Sudan are limited. Research indicates that Khartoum-based accountants must reconcile international accounting standards (e.g., IFRS) with local regulations set by the Sudanese Ministry of Finance and the National Accounting Council (NAC). Additionally, academic papers highlight gaps in financial education and technology adoption among Sudanese professionals, which impact their ability to serve clients effectively. This thesis builds on these insights by focusing on Khartoum’s unique context.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accountants in Khartoum and quantitative data analysis from public financial reports. Semi-structured interviews were conducted with 15 accountants across private firms, government agencies, and NGOs in Khartoum. Secondary data was sourced from the Central Bank of Sudan (CBS), the Sudanese Chamber of Commerce, and published case studies on economic challenges in the region. The study also incorporates comparative analysis with accounting practices in other developing economies to contextualize findings within a broader framework.</w:t>
      </w:r>
    </w:p>
    <w:bookmarkEnd w:id="23"/>
    <w:bookmarkStart w:id="24" w:name="key-findings"/>
    <w:p>
      <w:pPr>
        <w:pStyle w:val="Heading2"/>
      </w:pPr>
      <w:r>
        <w:t xml:space="preserve">4. Key Findings</w:t>
      </w:r>
    </w:p>
    <w:p>
      <w:pPr>
        <w:numPr>
          <w:ilvl w:val="0"/>
          <w:numId w:val="1001"/>
        </w:numPr>
        <w:pStyle w:val="Compact"/>
      </w:pPr>
      <w:r>
        <w:rPr>
          <w:bCs/>
          <w:b/>
        </w:rPr>
        <w:t xml:space="preserve">Adaptability to Regulatory Shifts:</w:t>
      </w:r>
      <w:r>
        <w:t xml:space="preserve"> </w:t>
      </w:r>
      <w:r>
        <w:t xml:space="preserve">Accountants in Khartoum frequently adjust to rapid policy changes, such as tax reforms or currency controls, to ensure compliance while protecting their clients' interests.</w:t>
      </w:r>
    </w:p>
    <w:p>
      <w:pPr>
        <w:numPr>
          <w:ilvl w:val="0"/>
          <w:numId w:val="1001"/>
        </w:numPr>
        <w:pStyle w:val="Compact"/>
      </w:pPr>
      <w:r>
        <w:rPr>
          <w:bCs/>
          <w:b/>
        </w:rPr>
        <w:t xml:space="preserve">Cultural and Political Challenges:</w:t>
      </w:r>
      <w:r>
        <w:t xml:space="preserve"> </w:t>
      </w:r>
      <w:r>
        <w:t xml:space="preserve">The profession faces hurdles like limited access to international financial systems due to sanctions and a lack of standardized auditing procedures in some sectors.</w:t>
      </w:r>
    </w:p>
    <w:p>
      <w:pPr>
        <w:numPr>
          <w:ilvl w:val="0"/>
          <w:numId w:val="1001"/>
        </w:numPr>
        <w:pStyle w:val="Compact"/>
      </w:pPr>
      <w:r>
        <w:rPr>
          <w:bCs/>
          <w:b/>
        </w:rPr>
        <w:t xml:space="preserve">Technological Innovation:</w:t>
      </w:r>
      <w:r>
        <w:t xml:space="preserve"> </w:t>
      </w:r>
      <w:r>
        <w:t xml:space="preserve">Many Khartoum-based firms are adopting digital tools for accounting (e.g., cloud-based software) despite infrastructure limitations, improving efficiency and reducing errors.</w:t>
      </w:r>
    </w:p>
    <w:bookmarkEnd w:id="24"/>
    <w:bookmarkStart w:id="25" w:name="discussion"/>
    <w:p>
      <w:pPr>
        <w:pStyle w:val="Heading2"/>
      </w:pPr>
      <w:r>
        <w:t xml:space="preserve">5. Discussion</w:t>
      </w:r>
    </w:p>
    <w:p>
      <w:pPr>
        <w:pStyle w:val="FirstParagraph"/>
      </w:pPr>
      <w:r>
        <w:t xml:space="preserve">The findings reveal that accountants in Sudan Khartoum are not merely number crunchers but strategic advisors navigating a volatile economic terrain. Their role extends beyond bookkeeping to include risk management, financial planning, and advocacy for policy improvements. For instance, during the 2019 currency reform in Sudan, accountants played a critical role in helping businesses transition from the Sudanese Pound to the Egyptian Pound (EGP) as a parallel currency. However, challenges persist: limited professional development opportunities and brain drain have weakened the local accounting talent pool.</w:t>
      </w:r>
    </w:p>
    <w:bookmarkEnd w:id="25"/>
    <w:bookmarkStart w:id="26" w:name="Xfeefe91ca55ca76b9d35fff4a4b7b18910c5d9e"/>
    <w:p>
      <w:pPr>
        <w:pStyle w:val="Heading2"/>
      </w:pPr>
      <w:r>
        <w:t xml:space="preserve">6. Case Study: Khartoum’s Accounting Firms Amid Economic Crisis</w:t>
      </w:r>
    </w:p>
    <w:p>
      <w:pPr>
        <w:pStyle w:val="FirstParagraph"/>
      </w:pPr>
      <w:r>
        <w:t xml:space="preserve">A case study of two prominent Khartoum-based firms—Al-Wahda Accounting Services and Sudan Finance Solutions—demonstrates how accountants adapt to crises. Both firms reported increased demand for forensic accounting services in 2023 due to rising instances of financial fraud linked to economic instability. They also emphasized the need for government support in updating local accounting regulations to align with global standards, such as those set by the International Federation of Accountants (IFAC).</w:t>
      </w:r>
    </w:p>
    <w:bookmarkEnd w:id="26"/>
    <w:bookmarkStart w:id="27" w:name="conclusion"/>
    <w:p>
      <w:pPr>
        <w:pStyle w:val="Heading2"/>
      </w:pPr>
      <w:r>
        <w:t xml:space="preserve">7. Conclusion</w:t>
      </w:r>
    </w:p>
    <w:p>
      <w:pPr>
        <w:pStyle w:val="FirstParagraph"/>
      </w:pPr>
      <w:r>
        <w:t xml:space="preserve">The role of an accountant in Sudan Khartoum is multifaceted, blending technical expertise with resilience in the face of economic adversity. This Master Thesis underscores the profession’s significance in fostering financial transparency and sustainable development within a region marked by complexity and change. Future research should explore the impact of digital transformation on accounting practices or the role of education institutions in preparing professionals for Khartoum’s unique demands.</w:t>
      </w:r>
    </w:p>
    <w:bookmarkEnd w:id="27"/>
    <w:bookmarkStart w:id="28" w:name="references"/>
    <w:p>
      <w:pPr>
        <w:pStyle w:val="Heading2"/>
      </w:pPr>
      <w:r>
        <w:t xml:space="preserve">References</w:t>
      </w:r>
    </w:p>
    <w:p>
      <w:pPr>
        <w:pStyle w:val="FirstParagraph"/>
      </w:pPr>
      <w:r>
        <w:t xml:space="preserve">1. Central Bank of Sudan (CBS). (2023). Annual Economic Report.</w:t>
      </w:r>
      <w:r>
        <w:t xml:space="preserve"> </w:t>
      </w:r>
      <w:r>
        <w:t xml:space="preserve">2. International Federation of Accountants (IFAC). (2021). Global Accounting Standards Overview.</w:t>
      </w:r>
      <w:r>
        <w:t xml:space="preserve"> </w:t>
      </w:r>
      <w:r>
        <w:t xml:space="preserve">3. National Accounting Council of Sudan (NAC). (2020). Regulatory Framework for Accountants in Sudan.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 in Sudan Khartoum</dc:title>
  <dc:creator/>
  <dc:language>en</dc:language>
  <cp:keywords/>
  <dcterms:created xsi:type="dcterms:W3CDTF">2026-07-21T13:50:17Z</dcterms:created>
  <dcterms:modified xsi:type="dcterms:W3CDTF">2026-07-21T13:50:17Z</dcterms:modified>
</cp:coreProperties>
</file>

<file path=docProps/custom.xml><?xml version="1.0" encoding="utf-8"?>
<Properties xmlns="http://schemas.openxmlformats.org/officeDocument/2006/custom-properties" xmlns:vt="http://schemas.openxmlformats.org/officeDocument/2006/docPropsVTypes"/>
</file>