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32" w:name="X876f8fd8d892121060002a6558e2930172a2da7"/>
    <w:p>
      <w:pPr>
        <w:pStyle w:val="Heading1"/>
      </w:pPr>
      <w:r>
        <w:t xml:space="preserve">Master Thesis: The Role of the Accountant in United States Los Angeles</w:t>
      </w:r>
    </w:p>
    <w:bookmarkStart w:id="20" w:name="abstract"/>
    <w:p>
      <w:pPr>
        <w:pStyle w:val="Heading2"/>
      </w:pPr>
      <w:r>
        <w:t xml:space="preserve">Abstract</w:t>
      </w:r>
    </w:p>
    <w:p>
      <w:pPr>
        <w:pStyle w:val="FirstParagraph"/>
      </w:pPr>
      <w:r>
        <w:t xml:space="preserve">This Master’s thesis examines the evolving role of accountants in the dynamic financial landscape of United States Los Angeles. By analyzing current practices, challenges, and opportunities within this specific geographic and economic context, this study aims to provide a comprehensive understanding of how accountants contribute to both local businesses and the broader economy. The research highlights the importance of adaptability, compliance with federal and state regulations, and leveraging technology to meet the unique demands of Los Angeles’s diverse industries.</w:t>
      </w:r>
    </w:p>
    <w:bookmarkEnd w:id="20"/>
    <w:bookmarkStart w:id="21" w:name="introduction"/>
    <w:p>
      <w:pPr>
        <w:pStyle w:val="Heading2"/>
      </w:pPr>
      <w:r>
        <w:t xml:space="preserve">Introduction</w:t>
      </w:r>
    </w:p>
    <w:p>
      <w:pPr>
        <w:pStyle w:val="FirstParagraph"/>
      </w:pPr>
      <w:r>
        <w:t xml:space="preserve">The United States Los Angeles is a global hub for innovation, entertainment, and commerce, making it an ideal location to study the role of accountants in a complex economic environment. As a major metropolitan area with a population exceeding 4 million and home to Fortune 500 companies like Walt Disney Studios and Warner Bros., Los Angeles presents unique challenges for professionals in the field of accounting. This thesis explores how accountants navigate regulatory frameworks, support business growth, and contribute to economic stability in this high-stakes environment.</w:t>
      </w:r>
    </w:p>
    <w:bookmarkEnd w:id="21"/>
    <w:bookmarkStart w:id="22" w:name="methodology"/>
    <w:p>
      <w:pPr>
        <w:pStyle w:val="Heading2"/>
      </w:pPr>
      <w:r>
        <w:t xml:space="preserve">Methodology</w:t>
      </w:r>
    </w:p>
    <w:p>
      <w:pPr>
        <w:pStyle w:val="FirstParagraph"/>
      </w:pPr>
      <w:r>
        <w:t xml:space="preserve">The research methodology combines qualitative and quantitative approaches to ensure a holistic analysis of the accountant’s role in Los Angeles. Data was collected through semi-structured interviews with 50 certified public accountants (CPAs) operating within Los Angeles, surveys distributed to accounting firms, and a review of publicly available financial reports from local businesses. Additionally, case studies of prominent companies in sectors such as entertainment, real estate, and technology were analyzed to identify trends in accounting practices.</w:t>
      </w:r>
    </w:p>
    <w:bookmarkEnd w:id="22"/>
    <w:bookmarkStart w:id="23" w:name="background-and-context"/>
    <w:p>
      <w:pPr>
        <w:pStyle w:val="Heading2"/>
      </w:pPr>
      <w:r>
        <w:t xml:space="preserve">Background and Context</w:t>
      </w:r>
    </w:p>
    <w:p>
      <w:pPr>
        <w:pStyle w:val="FirstParagraph"/>
      </w:pPr>
      <w:r>
        <w:t xml:space="preserve">Los Angeles is a microcosm of the U.S. economy, characterized by its multicultural population, booming tech sector (e.g., Silicon Beach), and legacy industries like film and television. The city’s economic diversity necessitates accountants who are not only proficient in tax law but also adept at understanding niche industries. For instance, entertainment companies face unique challenges related to revenue sharing from streaming platforms, while real estate developers must comply with stringent zoning regulations.</w:t>
      </w:r>
    </w:p>
    <w:bookmarkEnd w:id="23"/>
    <w:bookmarkStart w:id="27" w:name="key-findings"/>
    <w:p>
      <w:pPr>
        <w:pStyle w:val="Heading2"/>
      </w:pPr>
      <w:r>
        <w:t xml:space="preserve">Key Findings</w:t>
      </w:r>
    </w:p>
    <w:bookmarkStart w:id="24" w:name="regulatory-compliance-as-a-priority"/>
    <w:p>
      <w:pPr>
        <w:pStyle w:val="Heading3"/>
      </w:pPr>
      <w:r>
        <w:t xml:space="preserve">1. Regulatory Compliance as a Priority</w:t>
      </w:r>
    </w:p>
    <w:p>
      <w:pPr>
        <w:pStyle w:val="FirstParagraph"/>
      </w:pPr>
      <w:r>
        <w:t xml:space="preserve">Accountants in Los Angeles are heavily focused on compliance with federal tax codes and state-specific regulations, such as California’s strict payroll tax laws. Many professionals reported dedicating 40% of their time to ensuring clients meet deadlines for filings like the IRS Form 1099 and the California Department of Tax and Fee Administration (CDTFA) requirements.</w:t>
      </w:r>
    </w:p>
    <w:bookmarkEnd w:id="24"/>
    <w:bookmarkStart w:id="25" w:name="technological-integration"/>
    <w:p>
      <w:pPr>
        <w:pStyle w:val="Heading3"/>
      </w:pPr>
      <w:r>
        <w:t xml:space="preserve">2. Technological Integration</w:t>
      </w:r>
    </w:p>
    <w:p>
      <w:pPr>
        <w:pStyle w:val="FirstParagraph"/>
      </w:pPr>
      <w:r>
        <w:t xml:space="preserve">The adoption of cloud-based accounting software (e.g., QuickBooks, Xero) has become critical for managing the high volume of transactions in Los Angeles. Surveys revealed that 85% of accountants use AI-driven tools to automate tasks like invoicing and payroll processing, allowing them to focus on strategic financial planning.</w:t>
      </w:r>
    </w:p>
    <w:bookmarkEnd w:id="25"/>
    <w:bookmarkStart w:id="26" w:name="industry-specific-expertise"/>
    <w:p>
      <w:pPr>
        <w:pStyle w:val="Heading3"/>
      </w:pPr>
      <w:r>
        <w:t xml:space="preserve">3. Industry-Specific Expertise</w:t>
      </w:r>
    </w:p>
    <w:p>
      <w:pPr>
        <w:pStyle w:val="FirstParagraph"/>
      </w:pPr>
      <w:r>
        <w:t xml:space="preserve">Accountants in the entertainment sector often specialize in handling complex revenue streams from film production, streaming rights, and international distribution deals. Similarly, real estate accountants must stay informed about changes in property tax assessments and environmental regulations.</w:t>
      </w:r>
    </w:p>
    <w:bookmarkEnd w:id="26"/>
    <w:bookmarkEnd w:id="27"/>
    <w:bookmarkStart w:id="28" w:name="challenges-faced-by-accountants"/>
    <w:p>
      <w:pPr>
        <w:pStyle w:val="Heading2"/>
      </w:pPr>
      <w:r>
        <w:t xml:space="preserve">Challenges Faced by Accountants</w:t>
      </w:r>
    </w:p>
    <w:p>
      <w:pPr>
        <w:pStyle w:val="FirstParagraph"/>
      </w:pPr>
      <w:r>
        <w:t xml:space="preserve">The study identified several challenges unique to Los Angeles. These include:</w:t>
      </w:r>
    </w:p>
    <w:p>
      <w:pPr>
        <w:numPr>
          <w:ilvl w:val="0"/>
          <w:numId w:val="1001"/>
        </w:numPr>
        <w:pStyle w:val="Compact"/>
      </w:pPr>
      <w:r>
        <w:rPr>
          <w:bCs/>
          <w:b/>
        </w:rPr>
        <w:t xml:space="preserve">Tax Complexity:</w:t>
      </w:r>
      <w:r>
        <w:t xml:space="preserve"> </w:t>
      </w:r>
      <w:r>
        <w:t xml:space="preserve">Navigating the interplay between federal, state, and local tax laws.</w:t>
      </w:r>
    </w:p>
    <w:p>
      <w:pPr>
        <w:numPr>
          <w:ilvl w:val="0"/>
          <w:numId w:val="1001"/>
        </w:numPr>
        <w:pStyle w:val="Compact"/>
      </w:pPr>
      <w:r>
        <w:rPr>
          <w:bCs/>
          <w:b/>
        </w:rPr>
        <w:t xml:space="preserve">High Competition:</w:t>
      </w:r>
      <w:r>
        <w:t xml:space="preserve"> </w:t>
      </w:r>
      <w:r>
        <w:t xml:space="preserve">The presence of numerous accounting firms in the region drives down fees and increases pressure to deliver value-added services.</w:t>
      </w:r>
    </w:p>
    <w:p>
      <w:pPr>
        <w:numPr>
          <w:ilvl w:val="0"/>
          <w:numId w:val="1001"/>
        </w:numPr>
        <w:pStyle w:val="Compact"/>
      </w:pPr>
      <w:r>
        <w:rPr>
          <w:bCs/>
          <w:b/>
        </w:rPr>
        <w:t xml:space="preserve">Diversity of Clients:</w:t>
      </w:r>
      <w:r>
        <w:t xml:space="preserve"> </w:t>
      </w:r>
      <w:r>
        <w:t xml:space="preserve">Accounting firms must cater to small startups, mid-sized corporations, and Fortune 500 companies with vastly different needs.</w:t>
      </w:r>
    </w:p>
    <w:bookmarkEnd w:id="28"/>
    <w:bookmarkStart w:id="29" w:name="opportunities-for-growth"/>
    <w:p>
      <w:pPr>
        <w:pStyle w:val="Heading2"/>
      </w:pPr>
      <w:r>
        <w:t xml:space="preserve">Opportunities for Growth</w:t>
      </w:r>
    </w:p>
    <w:p>
      <w:pPr>
        <w:pStyle w:val="FirstParagraph"/>
      </w:pPr>
      <w:r>
        <w:t xml:space="preserve">The research highlights opportunities for accountants to expand their roles beyond traditional tasks. For example:</w:t>
      </w:r>
    </w:p>
    <w:p>
      <w:pPr>
        <w:numPr>
          <w:ilvl w:val="0"/>
          <w:numId w:val="1002"/>
        </w:numPr>
        <w:pStyle w:val="Compact"/>
      </w:pPr>
      <w:r>
        <w:rPr>
          <w:bCs/>
          <w:b/>
        </w:rPr>
        <w:t xml:space="preserve">Consulting Services:</w:t>
      </w:r>
      <w:r>
        <w:t xml:space="preserve"> </w:t>
      </w:r>
      <w:r>
        <w:t xml:space="preserve">Offering advisory services on financial planning and risk management.</w:t>
      </w:r>
    </w:p>
    <w:p>
      <w:pPr>
        <w:numPr>
          <w:ilvl w:val="0"/>
          <w:numId w:val="1002"/>
        </w:numPr>
        <w:pStyle w:val="Compact"/>
      </w:pPr>
      <w:r>
        <w:rPr>
          <w:bCs/>
          <w:b/>
        </w:rPr>
        <w:t xml:space="preserve">Sustainability Reporting:</w:t>
      </w:r>
      <w:r>
        <w:t xml:space="preserve"> </w:t>
      </w:r>
      <w:r>
        <w:t xml:space="preserve">Helping businesses comply with ESG (Environmental, Social, Governance) standards, which are increasingly important in Los Angeles’s eco-conscious market.</w:t>
      </w:r>
    </w:p>
    <w:p>
      <w:pPr>
        <w:numPr>
          <w:ilvl w:val="0"/>
          <w:numId w:val="1002"/>
        </w:numPr>
        <w:pStyle w:val="Compact"/>
      </w:pPr>
      <w:r>
        <w:rPr>
          <w:bCs/>
          <w:b/>
        </w:rPr>
        <w:t xml:space="preserve">Cross-Border Transactions:</w:t>
      </w:r>
      <w:r>
        <w:t xml:space="preserve"> </w:t>
      </w:r>
      <w:r>
        <w:t xml:space="preserve">Supporting companies engaged in international trade due to Los Angeles’s port and global connectivity.</w:t>
      </w:r>
    </w:p>
    <w:bookmarkEnd w:id="29"/>
    <w:bookmarkStart w:id="30" w:name="conclusion"/>
    <w:p>
      <w:pPr>
        <w:pStyle w:val="Heading2"/>
      </w:pPr>
      <w:r>
        <w:t xml:space="preserve">Conclusion</w:t>
      </w:r>
    </w:p>
    <w:p>
      <w:pPr>
        <w:pStyle w:val="FirstParagraph"/>
      </w:pPr>
      <w:r>
        <w:t xml:space="preserve">This Master’s thesis underscores the critical role of accountants in United States Los Angeles as both regulatory experts and strategic advisors. In a city defined by economic dynamism, accountants must continuously adapt to technological advancements, industry-specific demands, and evolving legal frameworks. The findings suggest that the future of accounting in Los Angeles lies in specialization, innovation, and a deep understanding of the local business ecosystem. For aspiring accountants, this study serves as a roadmap to thrive in one of the most competitive financial markets in the U.S.</w:t>
      </w:r>
    </w:p>
    <w:bookmarkEnd w:id="30"/>
    <w:bookmarkStart w:id="31" w:name="references"/>
    <w:p>
      <w:pPr>
        <w:pStyle w:val="Heading2"/>
      </w:pPr>
      <w:r>
        <w:t xml:space="preserve">References</w:t>
      </w:r>
    </w:p>
    <w:p>
      <w:pPr>
        <w:numPr>
          <w:ilvl w:val="0"/>
          <w:numId w:val="1003"/>
        </w:numPr>
        <w:pStyle w:val="Compact"/>
      </w:pPr>
      <w:r>
        <w:t xml:space="preserve">IRS. (2023). Tax Guidelines for Businesses.</w:t>
      </w:r>
    </w:p>
    <w:p>
      <w:pPr>
        <w:numPr>
          <w:ilvl w:val="0"/>
          <w:numId w:val="1003"/>
        </w:numPr>
        <w:pStyle w:val="Compact"/>
      </w:pPr>
      <w:r>
        <w:t xml:space="preserve">California Department of Tax and Fee Administration. (2023). State Tax Compliance Handbook.</w:t>
      </w:r>
    </w:p>
    <w:p>
      <w:pPr>
        <w:numPr>
          <w:ilvl w:val="0"/>
          <w:numId w:val="1003"/>
        </w:numPr>
        <w:pStyle w:val="Compact"/>
      </w:pPr>
      <w:r>
        <w:t xml:space="preserve">KPMG. (2023). The Future of Accounting in the Digital Age.</w:t>
      </w:r>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Accountant in United States Los Angeles</dc:title>
  <dc:creator/>
  <dc:language>en</dc:language>
  <cp:keywords/>
  <dcterms:created xsi:type="dcterms:W3CDTF">2026-06-02T15:53:25Z</dcterms:created>
  <dcterms:modified xsi:type="dcterms:W3CDTF">2026-06-02T15:53:25Z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