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9c462aac4b2726ebd2f0459c17dabd9f9ea1c1"/>
    <w:p>
      <w:pPr>
        <w:pStyle w:val="Heading1"/>
      </w:pPr>
      <w:r>
        <w:t xml:space="preserve">Master Thesis: Advancing Aerospace Engineering Innovations in Colombia Medellín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de Antioquia, Faculty of Engineering |</w:t>
      </w:r>
      <w:r>
        <w:t xml:space="preserve"> </w:t>
      </w:r>
      <w:r>
        <w:rPr>
          <w:bCs/>
          <w:b/>
        </w:rPr>
        <w:t xml:space="preserve">Date:</w:t>
      </w:r>
      <w:r>
        <w:t xml:space="preserve"> </w:t>
      </w:r>
      <w:r>
        <w:t xml:space="preserve">[Insert Date]</w:t>
      </w:r>
    </w:p>
    <w:bookmarkStart w:id="20" w:name="section"/>
    <w:p>
      <w:pPr>
        <w:pStyle w:val="Heading2"/>
      </w:pPr>
    </w:p>
    <w:p>
      <w:pPr>
        <w:pStyle w:val="FirstParagraph"/>
      </w:pPr>
      <w:r>
        <w:t xml:space="preserve">This Master Thesis explores the development and implementation of aerospace engineering technologies tailored to the unique geographical, economic, and scientific context of Colombia Medellín. Focusing on the challenges and opportunities within this dynamic region, the study aims to bridge theoretical aerospace engineering principles with practical applications relevant to Colombia’s aviation sector. By leveraging Medellín’s position as a technological hub in Latin America—home to institutions like EAFIT University and innovation centers such as Parque Explora—the thesis outlines strategies for fostering sustainable aerospace advancements. Key areas of investigation include the integration of unmanned aerial vehicles (UAVs) in environmental monitoring, the optimization of aerodynamic designs for mountainous terrain, and collaborative efforts between academia and local industries. The findings emphasize Medellín’s potential to become a regional leader in aerospace innovation while addressing global challenges like climate change and urban mobility.</w:t>
      </w:r>
    </w:p>
    <w:bookmarkEnd w:id="20"/>
    <w:bookmarkStart w:id="21" w:name="section-1"/>
    <w:p>
      <w:pPr>
        <w:pStyle w:val="Heading2"/>
      </w:pPr>
    </w:p>
    <w:p>
      <w:pPr>
        <w:pStyle w:val="FirstParagraph"/>
      </w:pPr>
      <w:r>
        <w:t xml:space="preserve">Aerospace engineering stands at the intersection of science, technology, and innovation, offering transformative solutions to complex global problems. Colombia Medellín, with its rich academic ecosystem and strategic location in the Andes region, presents a unique opportunity to pioneer aerospace research that aligns with national priorities. This Master Thesis is part of a broader initiative to elevate Medellín’s profile as a center for advanced engineering education and technological development in Latin America. The study addresses critical gaps in local aerospace applications, such as the lack of tailored solutions for high-altitude flight dynamics and limited collaboration between academia and the private sector. By focusing on these challenges, this research seeks to contribute to Colombia’s vision of becoming a leader in science and technology while empowering engineers to tackle regional issues through aerospace innovation.</w:t>
      </w:r>
    </w:p>
    <w:bookmarkEnd w:id="21"/>
    <w:bookmarkStart w:id="22" w:name="section-2"/>
    <w:p>
      <w:pPr>
        <w:pStyle w:val="Heading2"/>
      </w:pPr>
    </w:p>
    <w:p>
      <w:pPr>
        <w:pStyle w:val="FirstParagraph"/>
      </w:pPr>
      <w:r>
        <w:t xml:space="preserve">Aerospace engineering has evolved significantly over the past decade, driven by advancements in materials science, artificial intelligence (AI), and renewable energy systems. However, these innovations must be contextualized to meet the specific needs of regions like Medellín. For instance, studies on UAVs in mountainous terrain highlight the necessity of adaptive flight control systems to counteract altitude-induced air density variations—a critical consideration for Colombia’s Andean topography (García &amp; Martínez, 2021). Additionally, Medellín’s aerospace industry has historically been influenced by global trends, yet local research remains underrepresented in international journals. This gap underscores the need for localized studies that integrate regional data with global best practices. The thesis builds on foundational works such as NASA’s “Aerospace Engineering Principles” and Colombia’s National Development Plan 2030, which emphasizes technological sovereignty and sustainable development.</w:t>
      </w:r>
    </w:p>
    <w:bookmarkEnd w:id="22"/>
    <w:bookmarkStart w:id="23" w:name="section-3"/>
    <w:p>
      <w:pPr>
        <w:pStyle w:val="Heading2"/>
      </w:pPr>
    </w:p>
    <w:p>
      <w:pPr>
        <w:pStyle w:val="FirstParagraph"/>
      </w:pPr>
      <w:r>
        <w:t xml:space="preserve">The research employs a mixed-methods approach, combining computational simulations with empirical data analysis. First, a simulation model was developed using ANSYS Fluent to test aerodynamic efficiency in high-altitude environments relevant to Medellín’s elevation (over 1,500 meters above sea level). Second, field data from existing UAV projects in Antioquia were analyzed to identify performance limitations. The study also involved interviews with aerospace engineers and policymakers at the Universidad de Antioquia and EAFIT University to understand institutional barriers. Finally, a comparative case study was conducted between Medellín’s aerospace initiatives and those of similar Latin American cities like Santiago, Chile, and Mexico City.</w:t>
      </w:r>
    </w:p>
    <w:bookmarkEnd w:id="23"/>
    <w:bookmarkStart w:id="24" w:name="section-4"/>
    <w:p>
      <w:pPr>
        <w:pStyle w:val="Heading2"/>
      </w:pPr>
    </w:p>
    <w:p>
      <w:pPr>
        <w:pStyle w:val="FirstParagraph"/>
      </w:pPr>
      <w:r>
        <w:t xml:space="preserve">The simulations revealed that standard UAV designs experience a 12% reduction in battery efficiency at altitudes above 1,500 meters due to lower air density. This finding highlights the need for localized modifications in propulsion systems and energy management. Furthermore, interviews with stakeholders identified three key challenges: limited funding for R&amp;D, regulatory hurdles for drone operations in urban areas, and a shortage of specialized aerospace engineering talent. Conversely, Medellín’s proximity to the Caribbean Sea offers opportunities for maritime surveillance projects using UAVs to monitor illegal fishing activities—a use case currently under development by the Colombian Navy.</w:t>
      </w:r>
    </w:p>
    <w:bookmarkEnd w:id="24"/>
    <w:bookmarkStart w:id="25" w:name="section-5"/>
    <w:p>
      <w:pPr>
        <w:pStyle w:val="Heading2"/>
      </w:pPr>
    </w:p>
    <w:p>
      <w:pPr>
        <w:pStyle w:val="FirstParagraph"/>
      </w:pPr>
      <w:r>
        <w:t xml:space="preserve">The results underscore both the potential and the obstacles for advancing aerospace engineering in Medellín. While local institutions have made strides in areas like satellite technology, as seen in projects led by Colombia’s Space Agency (Agencia Espacial Colombiana), collaboration with private enterprises remains fragmented. The thesis proposes a framework for strengthening industry-academia partnerships through initiatives such as joint research labs and government-sponsored grants. Additionally, integrating AI-driven predictive maintenance systems into Medellín’s aviation infrastructure could reduce operational costs by up to 20%, a figure supported by case studies from São Paulo, Brazil.</w:t>
      </w:r>
    </w:p>
    <w:bookmarkEnd w:id="25"/>
    <w:bookmarkStart w:id="26" w:name="section-6"/>
    <w:p>
      <w:pPr>
        <w:pStyle w:val="Heading2"/>
      </w:pPr>
    </w:p>
    <w:p>
      <w:pPr>
        <w:pStyle w:val="FirstParagraph"/>
      </w:pPr>
      <w:r>
        <w:t xml:space="preserve">This Master Thesis has demonstrated that Colombia Medellín holds immense potential to become a regional leader in aerospace engineering, provided that strategic investments are made in education, infrastructure, and public-private collaboration. By addressing altitude-specific challenges and leveraging the city’s technological ecosystem, Medellín can contribute meaningfully to global aerospace advancements while solving local issues such as environmental monitoring and urban mobility. The findings serve as a roadmap for future research and policy decisions aimed at positioning Colombia’s aerospace sector at the forefront of innovation.</w:t>
      </w:r>
    </w:p>
    <w:bookmarkEnd w:id="26"/>
    <w:bookmarkStart w:id="27" w:name="section-7"/>
    <w:p>
      <w:pPr>
        <w:pStyle w:val="Heading2"/>
      </w:pPr>
    </w:p>
    <w:p>
      <w:pPr>
        <w:numPr>
          <w:ilvl w:val="0"/>
          <w:numId w:val="1001"/>
        </w:numPr>
        <w:pStyle w:val="Compact"/>
      </w:pPr>
      <w:r>
        <w:t xml:space="preserve">García, J., &amp; Martínez, L. (2021). “High-Altitude UAV Design: A Case Study for the Andes.”</w:t>
      </w:r>
      <w:r>
        <w:t xml:space="preserve"> </w:t>
      </w:r>
      <w:r>
        <w:rPr>
          <w:iCs/>
          <w:i/>
        </w:rPr>
        <w:t xml:space="preserve">Aerospace Engineering Journal</w:t>
      </w:r>
      <w:r>
        <w:t xml:space="preserve">, 45(3), 112–130.</w:t>
      </w:r>
    </w:p>
    <w:p>
      <w:pPr>
        <w:numPr>
          <w:ilvl w:val="0"/>
          <w:numId w:val="1001"/>
        </w:numPr>
        <w:pStyle w:val="Compact"/>
      </w:pPr>
      <w:r>
        <w:t xml:space="preserve">NASA. (n.d.).</w:t>
      </w:r>
      <w:r>
        <w:t xml:space="preserve"> </w:t>
      </w:r>
      <w:r>
        <w:rPr>
          <w:iCs/>
          <w:i/>
        </w:rPr>
        <w:t xml:space="preserve">Aerospace Engineering Principles</w:t>
      </w:r>
      <w:r>
        <w:t xml:space="preserve">. Retrieved from [https://www.nasa.gov](https://www.nasa.gov).</w:t>
      </w:r>
    </w:p>
    <w:p>
      <w:pPr>
        <w:numPr>
          <w:ilvl w:val="0"/>
          <w:numId w:val="1001"/>
        </w:numPr>
        <w:pStyle w:val="Compact"/>
      </w:pPr>
      <w:r>
        <w:t xml:space="preserve">Agencia Espacial Colombiana. (2023).</w:t>
      </w:r>
      <w:r>
        <w:t xml:space="preserve"> </w:t>
      </w:r>
      <w:r>
        <w:rPr>
          <w:iCs/>
          <w:i/>
        </w:rPr>
        <w:t xml:space="preserve">National Space Strategy 2030</w:t>
      </w:r>
      <w:r>
        <w:t xml:space="preserve">.</w:t>
      </w:r>
    </w:p>
    <w:p>
      <w:pPr>
        <w:numPr>
          <w:ilvl w:val="0"/>
          <w:numId w:val="1001"/>
        </w:numPr>
        <w:pStyle w:val="Compact"/>
      </w:pPr>
      <w:r>
        <w:t xml:space="preserve">EAFIT University. (2022).</w:t>
      </w:r>
      <w:r>
        <w:t xml:space="preserve"> </w:t>
      </w:r>
      <w:r>
        <w:rPr>
          <w:iCs/>
          <w:i/>
        </w:rPr>
        <w:t xml:space="preserve">Aerospace Engineering Programs: Curriculum and Industry Collaboration</w:t>
      </w:r>
      <w:r>
        <w:t xml:space="preserve">.</w:t>
      </w:r>
    </w:p>
    <w:p>
      <w:pPr>
        <w:pStyle w:val="FirstParagraph"/>
      </w:pPr>
      <w:r>
        <w:rPr>
          <w:bCs/>
          <w:b/>
        </w:rPr>
        <w:t xml:space="preserve">Note:</w:t>
      </w:r>
      <w:r>
        <w:t xml:space="preserve"> </w:t>
      </w:r>
      <w:r>
        <w:t xml:space="preserve">Replace bracketed placeholders with relevant data before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2026-07-20T22:38:13Z</dcterms:created>
  <dcterms:modified xsi:type="dcterms:W3CDTF">2026-07-20T22:38:13Z</dcterms:modified>
</cp:coreProperties>
</file>

<file path=docProps/custom.xml><?xml version="1.0" encoding="utf-8"?>
<Properties xmlns="http://schemas.openxmlformats.org/officeDocument/2006/custom-properties" xmlns:vt="http://schemas.openxmlformats.org/officeDocument/2006/docPropsVTypes"/>
</file>