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Practices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496d8f3d777b2ea8b658676f08835056b53708a"/>
    <w:p>
      <w:pPr>
        <w:pStyle w:val="Heading1"/>
      </w:pPr>
      <w:r>
        <w:t xml:space="preserve">Master Thesis: Architectural Practices in Australia Melbourne</w:t>
      </w:r>
    </w:p>
    <w:bookmarkStart w:id="20" w:name="introduction"/>
    <w:p>
      <w:pPr>
        <w:pStyle w:val="Heading2"/>
      </w:pPr>
      <w:r>
        <w:t xml:space="preserve">Introduction</w:t>
      </w:r>
    </w:p>
    <w:p>
      <w:pPr>
        <w:pStyle w:val="FirstParagraph"/>
      </w:pPr>
      <w:r>
        <w:t xml:space="preserve">The role of an architect in shaping urban landscapes is pivotal, particularly in cities like Melbourne, Australia, where architectural innovation and historical preservation coexist. This Master Thesis explores the unique challenges and opportunities faced by architects operating within the dynamic context of Melbourne. As a global hub for design and sustainability, Melbourne offers a rich tapestry of influences that inform contemporary architectural practices. The thesis aims to critically analyze how architects in Australia Melbourne navigate regulatory frameworks, cultural expectations, and technological advancements to deliver projects that balance functionality with aesthetic value.</w:t>
      </w:r>
    </w:p>
    <w:bookmarkEnd w:id="20"/>
    <w:bookmarkStart w:id="21" w:name="architectural-identity-of-melbourne"/>
    <w:p>
      <w:pPr>
        <w:pStyle w:val="Heading2"/>
      </w:pPr>
      <w:r>
        <w:t xml:space="preserve">Architectural Identity of Melbourne</w:t>
      </w:r>
    </w:p>
    <w:p>
      <w:pPr>
        <w:pStyle w:val="FirstParagraph"/>
      </w:pPr>
      <w:r>
        <w:t xml:space="preserve">Melbourne’s architectural identity is defined by its blend of Victorian-era heritage, mid-century modernism, and cutting-edge contemporary designs. From the ornate facades of Federation-style buildings to the sleek glass towers of Southbank, the city reflects a commitment to preserving its past while embracing innovation. Architects in Australia Melbourne must reconcile these dualities, ensuring new developments complement rather than overshadow historical landmarks.</w:t>
      </w:r>
    </w:p>
    <w:p>
      <w:pPr>
        <w:pStyle w:val="BodyText"/>
      </w:pPr>
      <w:r>
        <w:t xml:space="preserve">Key examples include projects like</w:t>
      </w:r>
      <w:r>
        <w:t xml:space="preserve"> </w:t>
      </w:r>
      <w:r>
        <w:rPr>
          <w:iCs/>
          <w:i/>
        </w:rPr>
        <w:t xml:space="preserve">100 Victoria Street</w:t>
      </w:r>
      <w:r>
        <w:t xml:space="preserve">, a green skyscraper designed by Jackson Clements Burridge Architects, which integrates energy-efficient systems and community spaces. Such projects highlight the growing emphasis on sustainability in Melbourne’s architectural discourse, aligning with global trends while addressing local environmental challenges.</w:t>
      </w:r>
    </w:p>
    <w:bookmarkEnd w:id="21"/>
    <w:bookmarkStart w:id="22" w:name="regulatory-and-cultural-considerations"/>
    <w:p>
      <w:pPr>
        <w:pStyle w:val="Heading2"/>
      </w:pPr>
      <w:r>
        <w:t xml:space="preserve">Regulatory and Cultural Considerations</w:t>
      </w:r>
    </w:p>
    <w:p>
      <w:pPr>
        <w:pStyle w:val="FirstParagraph"/>
      </w:pPr>
      <w:r>
        <w:t xml:space="preserve">The Australian Building Code and state-specific regulations in Victoria impose stringent requirements on architects operating in Melbourne. Compliance with these standards is non-negotiable, yet it also presents opportunities for creative problem-solving. For instance, architects must design buildings that meet energy efficiency targets while adhering to heritage conservation laws for listed structures.</w:t>
      </w:r>
    </w:p>
    <w:p>
      <w:pPr>
        <w:pStyle w:val="BodyText"/>
      </w:pPr>
      <w:r>
        <w:t xml:space="preserve">Culturally, Melbourne’s diverse population influences architectural design through demands for inclusive spaces and multicultural representation. Architects in Australia Melbourne are increasingly tasked with designing environments that cater to a wide range of users, from bustling public plazas like Federation Square to residential developments that reflect the city’s cosmopolitan ethos.</w:t>
      </w:r>
    </w:p>
    <w:bookmarkEnd w:id="22"/>
    <w:bookmarkStart w:id="23" w:name="X5e996d5d7cd9d3588497781c4e78892af4c54db"/>
    <w:p>
      <w:pPr>
        <w:pStyle w:val="Heading2"/>
      </w:pPr>
      <w:r>
        <w:t xml:space="preserve">Technological Advancements in Architectural Practice</w:t>
      </w:r>
    </w:p>
    <w:p>
      <w:pPr>
        <w:pStyle w:val="FirstParagraph"/>
      </w:pPr>
      <w:r>
        <w:t xml:space="preserve">Advancements in Building Information Modeling (BIM), 3D printing, and sustainable materials have transformed architectural practice. In Melbourne, architects leverage these technologies to optimize design processes and reduce environmental impact. For example, parametric design software allows for the creation of complex geometries that were once impossible to achieve manually.</w:t>
      </w:r>
    </w:p>
    <w:p>
      <w:pPr>
        <w:pStyle w:val="BodyText"/>
      </w:pPr>
      <w:r>
        <w:t xml:space="preserve">Moreover, Melbourne’s status as a leader in renewable energy adoption has driven architects to prioritize solar integration, passive cooling systems, and green roofs. This aligns with the city’s goal of achieving net-zero carbon emissions by 2040, making sustainability a core tenet of architectural education and practice in Australia Melbourne.</w:t>
      </w:r>
    </w:p>
    <w:bookmarkEnd w:id="23"/>
    <w:bookmarkStart w:id="24" w:name="X921721f99f0cd74b7a06ee3f1411ed7c546cadc"/>
    <w:p>
      <w:pPr>
        <w:pStyle w:val="Heading2"/>
      </w:pPr>
      <w:r>
        <w:t xml:space="preserve">Case Studies: Architectural Excellence in Melbourne</w:t>
      </w:r>
    </w:p>
    <w:p>
      <w:pPr>
        <w:pStyle w:val="FirstParagraph"/>
      </w:pPr>
      <w:r>
        <w:t xml:space="preserve">To illustrate the practical application of these concepts, this thesis examines three case studies:</w:t>
      </w:r>
    </w:p>
    <w:p>
      <w:pPr>
        <w:numPr>
          <w:ilvl w:val="0"/>
          <w:numId w:val="1001"/>
        </w:numPr>
        <w:pStyle w:val="Compact"/>
      </w:pPr>
      <w:r>
        <w:rPr>
          <w:bCs/>
          <w:b/>
        </w:rPr>
        <w:t xml:space="preserve">Westgate Park Revitalization</w:t>
      </w:r>
      <w:r>
        <w:t xml:space="preserve">: A collaborative project between local architects and urban planners that transformed a post-industrial site into a public park, emphasizing ecological restoration.</w:t>
      </w:r>
    </w:p>
    <w:p>
      <w:pPr>
        <w:numPr>
          <w:ilvl w:val="0"/>
          <w:numId w:val="1001"/>
        </w:numPr>
        <w:pStyle w:val="Compact"/>
      </w:pPr>
      <w:r>
        <w:rPr>
          <w:bCs/>
          <w:b/>
        </w:rPr>
        <w:t xml:space="preserve">The Rialto Building (1912)</w:t>
      </w:r>
      <w:r>
        <w:t xml:space="preserve">: A historic preservation effort that showcased the adaptability of classical architecture to modern uses, including adaptive reuse of heritage spaces.</w:t>
      </w:r>
    </w:p>
    <w:p>
      <w:pPr>
        <w:numPr>
          <w:ilvl w:val="0"/>
          <w:numId w:val="1001"/>
        </w:numPr>
        <w:pStyle w:val="Compact"/>
      </w:pPr>
      <w:r>
        <w:rPr>
          <w:bCs/>
          <w:b/>
        </w:rPr>
        <w:t xml:space="preserve">Arts Centre Melbourne</w:t>
      </w:r>
      <w:r>
        <w:t xml:space="preserve">: A contemporary design that integrates acoustics, accessibility, and cultural symbolism into a multi-use performance venue.</w:t>
      </w:r>
    </w:p>
    <w:p>
      <w:pPr>
        <w:pStyle w:val="FirstParagraph"/>
      </w:pPr>
      <w:r>
        <w:t xml:space="preserve">These examples underscore the versatility required of an architect in Australia Melbourne, balancing technical precision with creative vision.</w:t>
      </w:r>
    </w:p>
    <w:bookmarkEnd w:id="24"/>
    <w:bookmarkStart w:id="25" w:name="Xcda7cf25f0d1cff113e223ce76c02248efb8465"/>
    <w:p>
      <w:pPr>
        <w:pStyle w:val="Heading2"/>
      </w:pPr>
      <w:r>
        <w:t xml:space="preserve">Challenges Facing Architects in Melbourne</w:t>
      </w:r>
    </w:p>
    <w:p>
      <w:pPr>
        <w:pStyle w:val="FirstParagraph"/>
      </w:pPr>
      <w:r>
        <w:t xml:space="preserve">Despite its opportunities, the profession in Australia Melbourne is not without challenges. Rapid urbanization has intensified competition for space, often leading to disputes over design compromises. Additionally, fluctuating property markets and rising construction costs necessitate cost-effective solutions without sacrificing quality.</w:t>
      </w:r>
    </w:p>
    <w:p>
      <w:pPr>
        <w:pStyle w:val="BodyText"/>
      </w:pPr>
      <w:r>
        <w:t xml:space="preserve">Another significant challenge is the need to address climate resilience. Melbourne’s vulnerability to extreme weather events requires architects to design structures that withstand flooding, heatwaves, and bushfires—a growing concern in the face of climate change.</w:t>
      </w:r>
    </w:p>
    <w:bookmarkEnd w:id="25"/>
    <w:bookmarkStart w:id="26" w:name="the-future-of-architecture-in-melbourne"/>
    <w:p>
      <w:pPr>
        <w:pStyle w:val="Heading2"/>
      </w:pPr>
      <w:r>
        <w:t xml:space="preserve">The Future of Architecture in Melbourne</w:t>
      </w:r>
    </w:p>
    <w:p>
      <w:pPr>
        <w:pStyle w:val="FirstParagraph"/>
      </w:pPr>
      <w:r>
        <w:t xml:space="preserve">As an architect in Australia Melbourne looks to the future, the focus will increasingly shift toward modular construction, AI-driven design tools, and circular economy principles. The integration of smart technologies into residential and commercial buildings is expected to redefine user experiences while enhancing energy efficiency.</w:t>
      </w:r>
    </w:p>
    <w:p>
      <w:pPr>
        <w:pStyle w:val="BodyText"/>
      </w:pPr>
      <w:r>
        <w:t xml:space="preserve">Moreover, architects are called upon to advocate for equitable urban development. This includes designing affordable housing solutions, improving public transportation networks, and ensuring that architectural interventions benefit all segments of Melbourne’s population.</w:t>
      </w:r>
    </w:p>
    <w:bookmarkEnd w:id="26"/>
    <w:bookmarkStart w:id="27" w:name="conclusion"/>
    <w:p>
      <w:pPr>
        <w:pStyle w:val="Heading2"/>
      </w:pPr>
      <w:r>
        <w:t xml:space="preserve">Conclusion</w:t>
      </w:r>
    </w:p>
    <w:p>
      <w:pPr>
        <w:pStyle w:val="FirstParagraph"/>
      </w:pPr>
      <w:r>
        <w:t xml:space="preserve">In conclusion, the role of an architect in Australia Melbourne is multifaceted, requiring a deep understanding of history, culture, technology, and sustainability. This Master Thesis has highlighted the unique context in which architects operate within Melbourne’s urban fabric and emphasized the importance of innovation while respecting heritage. As Melbourne continues to evolve as a global city, its architects will play a critical role in shaping its future—one that harmonizes tradition with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Practices in Australia Melbourne</dc:title>
  <dc:creator/>
  <dc:language>en</dc:language>
  <cp:keywords/>
  <dcterms:created xsi:type="dcterms:W3CDTF">2026-07-14T05:06:06Z</dcterms:created>
  <dcterms:modified xsi:type="dcterms:W3CDTF">2026-07-14T05:06:06Z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