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9fdc9ef73784f5c564dbc7cee94dd33d53d848b"/>
    <w:p>
      <w:pPr>
        <w:pStyle w:val="Heading1"/>
      </w:pPr>
      <w:r>
        <w:t xml:space="preserve">Master Thesis: The Role of the Architect in Canada Vancouver</w:t>
      </w:r>
    </w:p>
    <w:bookmarkStart w:id="20" w:name="abstract"/>
    <w:p>
      <w:pPr>
        <w:pStyle w:val="Heading2"/>
      </w:pPr>
      <w:r>
        <w:t xml:space="preserve">Abstract</w:t>
      </w:r>
    </w:p>
    <w:p>
      <w:pPr>
        <w:pStyle w:val="FirstParagraph"/>
      </w:pPr>
      <w:r>
        <w:t xml:space="preserve">This Master Thesis explores the evolving role of the architect within the urban context of Canada Vancouver, emphasizing how architectural practice must adapt to local environmental, cultural, and regulatory frameworks. The study investigates how architects in Vancouver balance innovation with sustainability, community engagement, and adherence to Canadian building codes. By analyzing case studies of contemporary architectural projects in Vancouver, this thesis highlights the unique challenges and opportunities faced by professionals in the field. It concludes that architects in Canada Vancouver must integrate ecological consciousness, multicultural inclusivity, and urban resilience into their designs to meet the demands of a rapidly changing world.</w:t>
      </w:r>
    </w:p>
    <w:bookmarkEnd w:id="20"/>
    <w:bookmarkStart w:id="21" w:name="introduction"/>
    <w:p>
      <w:pPr>
        <w:pStyle w:val="Heading2"/>
      </w:pPr>
      <w:r>
        <w:t xml:space="preserve">Introduction</w:t>
      </w:r>
    </w:p>
    <w:p>
      <w:pPr>
        <w:pStyle w:val="FirstParagraph"/>
      </w:pPr>
      <w:r>
        <w:t xml:space="preserve">Vancouver, situated on the west coast of Canada, is renowned for its breathtaking natural landscapes, diverse population, and progressive urban planning. As an architect practicing in this region, one must navigate a complex interplay of environmental stewardship, regulatory compliance (such as those under the BC Building Code), and socio-cultural diversity. This Master Thesis examines how these factors shape architectural practice in Vancouver and redefines the responsibilities of architects in addressing contemporary global challenges like climate change and urban densification.</w:t>
      </w:r>
    </w:p>
    <w:p>
      <w:pPr>
        <w:pStyle w:val="BodyText"/>
      </w:pPr>
      <w:r>
        <w:t xml:space="preserve">The study is structured around three core themes:</w:t>
      </w:r>
      <w:r>
        <w:t xml:space="preserve"> </w:t>
      </w:r>
      <w:r>
        <w:rPr>
          <w:iCs/>
          <w:i/>
        </w:rPr>
        <w:t xml:space="preserve">environmental sustainability, cultural responsiveness, and regulatory innovation</w:t>
      </w:r>
      <w:r>
        <w:t xml:space="preserve">. Each theme reflects a critical aspect of architectural work in Canada Vancouver. Through this analysis, the thesis aims to provide a comprehensive framework for architects operating in similar contexts globally.</w:t>
      </w:r>
    </w:p>
    <w:bookmarkEnd w:id="21"/>
    <w:bookmarkStart w:id="22" w:name="methodology"/>
    <w:p>
      <w:pPr>
        <w:pStyle w:val="Heading2"/>
      </w:pPr>
      <w:r>
        <w:t xml:space="preserve">Methodology</w:t>
      </w:r>
    </w:p>
    <w:p>
      <w:pPr>
        <w:pStyle w:val="FirstParagraph"/>
      </w:pPr>
      <w:r>
        <w:t xml:space="preserve">The research methodology combines qualitative case studies with theoretical analysis. Case studies include iconic Vancouver projects such as the Vancouver Convention Centre (a LEED Platinum-certified building) and the Olympic Village, which exemplify sustainable urban development. These examples are analyzed through the lens of architectural theory, focusing on design strategies that align with Canada’s climate goals and Vancouver’s unique geographical constraints.</w:t>
      </w:r>
    </w:p>
    <w:p>
      <w:pPr>
        <w:pStyle w:val="BodyText"/>
      </w:pPr>
      <w:r>
        <w:t xml:space="preserve">Additionally, interviews with licensed architects in Vancouver were conducted to gather insights into their professional experiences. These interviews explored challenges such as navigating the Canadian Architectural Certification Board (CACB) requirements, incorporating Indigenous perspectives into designs, and addressing rising housing affordability issues. The data collected was synthesized to identify trends and best practices in architectural practice within Canada Vancouver.</w:t>
      </w:r>
    </w:p>
    <w:bookmarkEnd w:id="22"/>
    <w:bookmarkStart w:id="27" w:name="analysis"/>
    <w:bookmarkStart w:id="26" w:name="analysis-of-key-themes"/>
    <w:p>
      <w:pPr>
        <w:pStyle w:val="Heading2"/>
      </w:pPr>
      <w:r>
        <w:t xml:space="preserve">Analysis of Key Themes</w:t>
      </w:r>
    </w:p>
    <w:bookmarkStart w:id="23" w:name="environmental-sustainability"/>
    <w:p>
      <w:pPr>
        <w:pStyle w:val="Heading3"/>
      </w:pPr>
      <w:r>
        <w:t xml:space="preserve">1. Environmental Sustainability</w:t>
      </w:r>
    </w:p>
    <w:p>
      <w:pPr>
        <w:pStyle w:val="FirstParagraph"/>
      </w:pPr>
      <w:r>
        <w:t xml:space="preserve">Vancouver’s commitment to reducing carbon emissions has placed architects at the forefront of sustainable design. The city’s Greenest City Action Plan, adopted in 2011, requires new developments to meet stringent energy efficiency standards. Architects in Canada Vancouver must innovate with materials like cross-laminated timber (CLT) and passive solar design while ensuring compliance with the Canadian Standards Association (CSA) guidelines.</w:t>
      </w:r>
    </w:p>
    <w:bookmarkEnd w:id="23"/>
    <w:bookmarkStart w:id="24" w:name="cultural-responsiveness"/>
    <w:p>
      <w:pPr>
        <w:pStyle w:val="Heading3"/>
      </w:pPr>
      <w:r>
        <w:t xml:space="preserve">2. Cultural Responsiveness</w:t>
      </w:r>
    </w:p>
    <w:p>
      <w:pPr>
        <w:pStyle w:val="FirstParagraph"/>
      </w:pPr>
      <w:r>
        <w:t xml:space="preserve">Vancouver’s multicultural population necessitates designs that reflect inclusivity and respect for diverse communities. This includes incorporating Indigenous cultural elements into public spaces, such as the Squamish Lil’wat Cultural Centre, and ensuring accessibility for people with disabilities. Architects must also consider local vernacular architecture while introducing modernist aesthetics to create harmony between tradition and innovation.</w:t>
      </w:r>
    </w:p>
    <w:bookmarkEnd w:id="24"/>
    <w:bookmarkStart w:id="25" w:name="regulatory-innovation"/>
    <w:p>
      <w:pPr>
        <w:pStyle w:val="Heading3"/>
      </w:pPr>
      <w:r>
        <w:t xml:space="preserve">3. Regulatory Innovation</w:t>
      </w:r>
    </w:p>
    <w:p>
      <w:pPr>
        <w:pStyle w:val="FirstParagraph"/>
      </w:pPr>
      <w:r>
        <w:t xml:space="preserve">Canada Vancouver’s regulatory environment is shaped by provincial and municipal policies, such as the Vancouver Official Community Plan (OCP). Architects must collaborate with urban planners, engineers, and policymakers to design projects that meet zoning laws while addressing pressing issues like housing shortages. For example, the city’s encouragement of high-density mixed-use developments has led to creative architectural solutions that maximize space without compromising livability.</w:t>
      </w:r>
    </w:p>
    <w:bookmarkEnd w:id="25"/>
    <w:bookmarkEnd w:id="26"/>
    <w:bookmarkEnd w:id="27"/>
    <w:bookmarkStart w:id="28" w:name="discussion"/>
    <w:p>
      <w:pPr>
        <w:pStyle w:val="Heading2"/>
      </w:pPr>
      <w:r>
        <w:t xml:space="preserve">Discussion</w:t>
      </w:r>
    </w:p>
    <w:p>
      <w:pPr>
        <w:pStyle w:val="FirstParagraph"/>
      </w:pPr>
      <w:r>
        <w:t xml:space="preserve">The findings underscore the critical role of the architect in Canada Vancouver as a multidisciplinary professional. Architects are no longer just designers but also environmental advocates, cultural mediators, and regulatory experts. Their work must align with global trends—such as net-zero carbon buildings—while addressing local needs like flood resilience in coastal areas or earthquake preparedness due to proximity to fault lines.</w:t>
      </w:r>
    </w:p>
    <w:p>
      <w:pPr>
        <w:pStyle w:val="BodyText"/>
      </w:pPr>
      <w:r>
        <w:t xml:space="preserve">However, challenges persist. Rising construction costs and the need for rapid urban development often create tension between sustainability goals and economic feasibility. Additionally, the integration of Indigenous knowledge systems into architectural practice remains an ongoing dialogue rather than a fully realized standard. These issues highlight the need for continued research and collaboration within Canada Vancouver’s architectural community.</w:t>
      </w:r>
    </w:p>
    <w:bookmarkEnd w:id="28"/>
    <w:bookmarkStart w:id="29" w:name="conclusion"/>
    <w:p>
      <w:pPr>
        <w:pStyle w:val="Heading2"/>
      </w:pPr>
      <w:r>
        <w:t xml:space="preserve">Conclusion</w:t>
      </w:r>
    </w:p>
    <w:p>
      <w:pPr>
        <w:pStyle w:val="FirstParagraph"/>
      </w:pPr>
      <w:r>
        <w:t xml:space="preserve">This Master Thesis has demonstrated that the role of the architect in Canada Vancouver is uniquely shaped by environmental, cultural, and regulatory dynamics. Through case studies and stakeholder interviews, it has been shown that architects must adopt a holistic approach to design—one that balances ecological responsibility with social equity and urban functionality.</w:t>
      </w:r>
    </w:p>
    <w:p>
      <w:pPr>
        <w:pStyle w:val="BodyText"/>
      </w:pPr>
      <w:r>
        <w:t xml:space="preserve">For future architects working in similar contexts globally, the lessons from Vancouver emphasize the importance of adaptability, interdisciplinary collaboration, and a deep understanding of local ecosystems. As Canada Vancouver continues to evolve as a model for sustainable cities, its architectural practitioners will remain pivotal in shaping this vision.</w:t>
      </w:r>
    </w:p>
    <w:bookmarkEnd w:id="29"/>
    <w:bookmarkStart w:id="30" w:name="references"/>
    <w:p>
      <w:pPr>
        <w:pStyle w:val="Heading2"/>
      </w:pPr>
      <w:r>
        <w:t xml:space="preserve">References</w:t>
      </w:r>
    </w:p>
    <w:p>
      <w:pPr>
        <w:numPr>
          <w:ilvl w:val="0"/>
          <w:numId w:val="1001"/>
        </w:numPr>
        <w:pStyle w:val="Compact"/>
      </w:pPr>
      <w:r>
        <w:t xml:space="preserve">Vancouver City Council. (2011). Greenest City Action Plan. Retrieved from [URL].</w:t>
      </w:r>
    </w:p>
    <w:p>
      <w:pPr>
        <w:numPr>
          <w:ilvl w:val="0"/>
          <w:numId w:val="1001"/>
        </w:numPr>
        <w:pStyle w:val="Compact"/>
      </w:pPr>
      <w:r>
        <w:t xml:space="preserve">CBC News. (2023). Vancouver’s LEED-certified buildings: A case study in sustainability.</w:t>
      </w:r>
    </w:p>
    <w:p>
      <w:pPr>
        <w:numPr>
          <w:ilvl w:val="0"/>
          <w:numId w:val="1001"/>
        </w:numPr>
        <w:pStyle w:val="Compact"/>
      </w:pPr>
      <w:r>
        <w:t xml:space="preserve">Canadian Architectural Certification Board (CACB). (2023). Licensing and Standards for Architects in Canada.</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Canada Vancouver</dc:title>
  <dc:creator/>
  <dc:language>en</dc:language>
  <cp:keywords/>
  <dcterms:created xsi:type="dcterms:W3CDTF">2026-04-26T15:17:48Z</dcterms:created>
  <dcterms:modified xsi:type="dcterms:W3CDTF">2026-04-26T15:17:48Z</dcterms:modified>
</cp:coreProperties>
</file>

<file path=docProps/custom.xml><?xml version="1.0" encoding="utf-8"?>
<Properties xmlns="http://schemas.openxmlformats.org/officeDocument/2006/custom-properties" xmlns:vt="http://schemas.openxmlformats.org/officeDocument/2006/docPropsVTypes"/>
</file>